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exact"/>
        <w:jc w:val="center"/>
        <w:outlineLvl w:val="0"/>
        <w:rPr>
          <w:rFonts w:hint="default" w:ascii="Times New Roman" w:hAnsi="Times New Roman" w:eastAsia="方正仿宋简体" w:cs="Times New Roman"/>
          <w:sz w:val="72"/>
          <w:szCs w:val="72"/>
        </w:rPr>
      </w:pPr>
      <w:bookmarkStart w:id="0" w:name="_Toc15396597"/>
      <w:bookmarkStart w:id="1" w:name="_Toc15396475"/>
      <w:bookmarkStart w:id="2" w:name="_Toc15378441"/>
      <w:bookmarkStart w:id="3" w:name="_Toc15377193"/>
      <w:bookmarkStart w:id="4" w:name="_Toc15377425"/>
      <w:bookmarkStart w:id="5" w:name="_Toc15306267"/>
    </w:p>
    <w:p>
      <w:pPr>
        <w:pageBreakBefore w:val="0"/>
        <w:kinsoku/>
        <w:wordWrap/>
        <w:overflowPunct/>
        <w:topLinePunct w:val="0"/>
        <w:bidi w:val="0"/>
        <w:spacing w:line="578" w:lineRule="exact"/>
        <w:jc w:val="center"/>
        <w:outlineLvl w:val="0"/>
        <w:rPr>
          <w:rFonts w:hint="default" w:ascii="Times New Roman" w:hAnsi="Times New Roman" w:eastAsia="方正仿宋简体" w:cs="Times New Roman"/>
          <w:sz w:val="72"/>
          <w:szCs w:val="72"/>
        </w:rPr>
      </w:pPr>
    </w:p>
    <w:p>
      <w:pPr>
        <w:pageBreakBefore w:val="0"/>
        <w:kinsoku/>
        <w:wordWrap/>
        <w:overflowPunct/>
        <w:topLinePunct w:val="0"/>
        <w:bidi w:val="0"/>
        <w:spacing w:line="578" w:lineRule="exact"/>
        <w:jc w:val="center"/>
        <w:outlineLvl w:val="0"/>
        <w:rPr>
          <w:rFonts w:hint="default" w:ascii="Times New Roman" w:hAnsi="Times New Roman" w:eastAsia="方正仿宋简体" w:cs="Times New Roman"/>
          <w:sz w:val="72"/>
          <w:szCs w:val="72"/>
        </w:rPr>
      </w:pPr>
    </w:p>
    <w:p>
      <w:pPr>
        <w:pageBreakBefore w:val="0"/>
        <w:kinsoku/>
        <w:wordWrap/>
        <w:overflowPunct/>
        <w:topLinePunct w:val="0"/>
        <w:bidi w:val="0"/>
        <w:spacing w:line="578" w:lineRule="exact"/>
        <w:jc w:val="center"/>
        <w:outlineLvl w:val="0"/>
        <w:rPr>
          <w:rFonts w:hint="default" w:ascii="Times New Roman" w:hAnsi="Times New Roman" w:eastAsia="方正仿宋简体" w:cs="Times New Roman"/>
          <w:sz w:val="72"/>
          <w:szCs w:val="72"/>
        </w:rPr>
      </w:pPr>
    </w:p>
    <w:p>
      <w:pPr>
        <w:keepNext w:val="0"/>
        <w:keepLines w:val="0"/>
        <w:pageBreakBefore w:val="0"/>
        <w:kinsoku/>
        <w:wordWrap/>
        <w:overflowPunct/>
        <w:topLinePunct w:val="0"/>
        <w:autoSpaceDE/>
        <w:autoSpaceDN/>
        <w:bidi w:val="0"/>
        <w:adjustRightInd w:val="0"/>
        <w:snapToGrid w:val="0"/>
        <w:spacing w:line="800" w:lineRule="exact"/>
        <w:jc w:val="center"/>
        <w:textAlignment w:val="auto"/>
        <w:outlineLvl w:val="0"/>
        <w:rPr>
          <w:rFonts w:hint="default" w:ascii="Times New Roman" w:hAnsi="Times New Roman" w:eastAsia="黑体" w:cs="Times New Roman"/>
          <w:color w:val="000000"/>
          <w:sz w:val="72"/>
          <w:szCs w:val="72"/>
          <w:lang w:val="en-US" w:eastAsia="zh-CN"/>
        </w:rPr>
      </w:pPr>
      <w:r>
        <w:rPr>
          <w:rFonts w:hint="default" w:ascii="Times New Roman" w:hAnsi="Times New Roman" w:eastAsia="黑体" w:cs="Times New Roman"/>
          <w:color w:val="000000"/>
          <w:sz w:val="72"/>
          <w:szCs w:val="72"/>
          <w:lang w:val="en-US" w:eastAsia="zh-CN"/>
        </w:rPr>
        <w:t>2021年度</w:t>
      </w:r>
      <w:bookmarkEnd w:id="0"/>
      <w:bookmarkEnd w:id="1"/>
      <w:bookmarkEnd w:id="2"/>
      <w:bookmarkEnd w:id="3"/>
      <w:bookmarkEnd w:id="4"/>
    </w:p>
    <w:p>
      <w:pPr>
        <w:keepNext w:val="0"/>
        <w:keepLines w:val="0"/>
        <w:pageBreakBefore w:val="0"/>
        <w:kinsoku/>
        <w:wordWrap/>
        <w:overflowPunct/>
        <w:topLinePunct w:val="0"/>
        <w:autoSpaceDE/>
        <w:autoSpaceDN/>
        <w:bidi w:val="0"/>
        <w:adjustRightInd w:val="0"/>
        <w:snapToGrid w:val="0"/>
        <w:spacing w:line="800" w:lineRule="exact"/>
        <w:jc w:val="center"/>
        <w:textAlignment w:val="auto"/>
        <w:outlineLvl w:val="0"/>
        <w:rPr>
          <w:rFonts w:hint="default" w:ascii="Times New Roman" w:hAnsi="Times New Roman" w:eastAsia="黑体" w:cs="Times New Roman"/>
          <w:color w:val="000000"/>
          <w:sz w:val="72"/>
          <w:szCs w:val="72"/>
          <w:lang w:val="en-US" w:eastAsia="zh-CN"/>
        </w:rPr>
      </w:pPr>
      <w:bookmarkStart w:id="6" w:name="_Toc15377194"/>
      <w:bookmarkStart w:id="7" w:name="_Toc15396598"/>
      <w:bookmarkStart w:id="8" w:name="_Toc15378442"/>
      <w:bookmarkStart w:id="9" w:name="_Toc15396476"/>
      <w:bookmarkStart w:id="10" w:name="_Toc15377426"/>
      <w:r>
        <w:rPr>
          <w:rFonts w:hint="default" w:ascii="Times New Roman" w:hAnsi="Times New Roman" w:eastAsia="黑体" w:cs="Times New Roman"/>
          <w:color w:val="000000"/>
          <w:sz w:val="72"/>
          <w:szCs w:val="72"/>
          <w:lang w:val="en-US" w:eastAsia="zh-CN"/>
        </w:rPr>
        <w:t>泸县</w:t>
      </w:r>
      <w:bookmarkEnd w:id="5"/>
      <w:bookmarkStart w:id="11" w:name="_Toc15306268"/>
      <w:r>
        <w:rPr>
          <w:rFonts w:hint="default" w:ascii="Times New Roman" w:hAnsi="Times New Roman" w:eastAsia="黑体" w:cs="Times New Roman"/>
          <w:color w:val="000000"/>
          <w:sz w:val="72"/>
          <w:szCs w:val="72"/>
          <w:lang w:val="en-US" w:eastAsia="zh-CN"/>
        </w:rPr>
        <w:t>机关事务服务中心</w:t>
      </w:r>
    </w:p>
    <w:p>
      <w:pPr>
        <w:keepNext w:val="0"/>
        <w:keepLines w:val="0"/>
        <w:pageBreakBefore w:val="0"/>
        <w:kinsoku/>
        <w:wordWrap/>
        <w:overflowPunct/>
        <w:topLinePunct w:val="0"/>
        <w:autoSpaceDE/>
        <w:autoSpaceDN/>
        <w:bidi w:val="0"/>
        <w:adjustRightInd w:val="0"/>
        <w:snapToGrid w:val="0"/>
        <w:spacing w:line="800" w:lineRule="exact"/>
        <w:jc w:val="center"/>
        <w:textAlignment w:val="auto"/>
        <w:outlineLvl w:val="0"/>
        <w:rPr>
          <w:rFonts w:hint="default" w:ascii="Times New Roman" w:hAnsi="Times New Roman" w:eastAsia="黑体" w:cs="Times New Roman"/>
          <w:color w:val="000000"/>
          <w:sz w:val="72"/>
          <w:szCs w:val="72"/>
          <w:lang w:val="en-US" w:eastAsia="zh-CN"/>
        </w:rPr>
      </w:pPr>
      <w:r>
        <w:rPr>
          <w:rFonts w:hint="default" w:ascii="Times New Roman" w:hAnsi="Times New Roman" w:eastAsia="黑体" w:cs="Times New Roman"/>
          <w:color w:val="000000"/>
          <w:sz w:val="72"/>
          <w:szCs w:val="72"/>
          <w:lang w:val="en-US" w:eastAsia="zh-CN"/>
        </w:rPr>
        <w:t>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Times New Roman" w:hAnsi="Times New Roman" w:eastAsia="方正仿宋简体" w:cs="Times New Roman"/>
          <w:b/>
          <w:bCs/>
          <w:sz w:val="48"/>
          <w:szCs w:val="48"/>
        </w:rPr>
      </w:pPr>
      <w:r>
        <w:rPr>
          <w:rFonts w:hint="default" w:ascii="Times New Roman" w:hAnsi="Times New Roman" w:eastAsia="方正仿宋简体" w:cs="Times New Roman"/>
          <w:sz w:val="36"/>
          <w:szCs w:val="36"/>
        </w:rPr>
        <w:br w:type="page"/>
      </w:r>
      <w:r>
        <w:rPr>
          <w:rFonts w:hint="default" w:ascii="Times New Roman" w:hAnsi="Times New Roman" w:eastAsia="方正小标宋简体" w:cs="Times New Roman"/>
          <w:b w:val="0"/>
          <w:bCs w:val="0"/>
          <w:color w:val="000000"/>
          <w:sz w:val="48"/>
          <w:szCs w:val="48"/>
        </w:rPr>
        <w:t>目录</w:t>
      </w:r>
    </w:p>
    <w:p>
      <w:pPr>
        <w:pStyle w:val="11"/>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sz w:val="24"/>
          <w:szCs w:val="24"/>
        </w:rPr>
      </w:pPr>
      <w:bookmarkStart w:id="12" w:name="_Toc15377196"/>
      <w:bookmarkStart w:id="13" w:name="_Toc15396599"/>
      <w:r>
        <w:rPr>
          <w:rFonts w:hint="default" w:ascii="Times New Roman" w:hAnsi="Times New Roman" w:eastAsia="方正仿宋简体" w:cs="Times New Roman"/>
          <w:b/>
          <w:bCs/>
          <w:sz w:val="24"/>
          <w:szCs w:val="24"/>
        </w:rPr>
        <w:t>公开时间：202</w:t>
      </w:r>
      <w:r>
        <w:rPr>
          <w:rFonts w:hint="default" w:ascii="Times New Roman" w:hAnsi="Times New Roman" w:eastAsia="方正仿宋简体" w:cs="Times New Roman"/>
          <w:b/>
          <w:bCs/>
          <w:sz w:val="24"/>
          <w:szCs w:val="24"/>
          <w:lang w:val="en-US" w:eastAsia="zh-CN"/>
        </w:rPr>
        <w:t>2</w:t>
      </w:r>
      <w:r>
        <w:rPr>
          <w:rFonts w:hint="default" w:ascii="Times New Roman" w:hAnsi="Times New Roman" w:eastAsia="方正仿宋简体" w:cs="Times New Roman"/>
          <w:b/>
          <w:bCs/>
          <w:sz w:val="24"/>
          <w:szCs w:val="24"/>
        </w:rPr>
        <w:t>年</w:t>
      </w:r>
      <w:r>
        <w:rPr>
          <w:rFonts w:hint="default" w:ascii="Times New Roman" w:hAnsi="Times New Roman" w:eastAsia="方正仿宋简体" w:cs="Times New Roman"/>
          <w:b/>
          <w:bCs/>
          <w:sz w:val="24"/>
          <w:szCs w:val="24"/>
          <w:lang w:val="en-US" w:eastAsia="zh-CN"/>
        </w:rPr>
        <w:t>11</w:t>
      </w:r>
      <w:r>
        <w:rPr>
          <w:rFonts w:hint="default" w:ascii="Times New Roman" w:hAnsi="Times New Roman" w:eastAsia="方正仿宋简体" w:cs="Times New Roman"/>
          <w:b/>
          <w:bCs/>
          <w:sz w:val="24"/>
          <w:szCs w:val="24"/>
        </w:rPr>
        <w:t>月</w:t>
      </w:r>
      <w:r>
        <w:rPr>
          <w:rFonts w:hint="default" w:ascii="Times New Roman" w:hAnsi="Times New Roman" w:eastAsia="方正仿宋简体" w:cs="Times New Roman"/>
          <w:b/>
          <w:bCs/>
          <w:sz w:val="24"/>
          <w:szCs w:val="24"/>
          <w:lang w:val="en-US" w:eastAsia="zh-CN"/>
        </w:rPr>
        <w:t>24</w:t>
      </w:r>
      <w:r>
        <w:rPr>
          <w:rFonts w:hint="default" w:ascii="Times New Roman" w:hAnsi="Times New Roman" w:eastAsia="方正仿宋简体" w:cs="Times New Roman"/>
          <w:b/>
          <w:bCs/>
          <w:sz w:val="24"/>
          <w:szCs w:val="24"/>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sz w:val="24"/>
          <w:szCs w:val="24"/>
        </w:rPr>
      </w:pP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黑体简体" w:cs="Times New Roman"/>
          <w:b/>
          <w:bCs/>
          <w:sz w:val="24"/>
          <w:szCs w:val="24"/>
        </w:rPr>
        <w:t>第一部分 部门概况</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一、基本职能及主要工作</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rPr>
        <w:t>二、机构设置</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第二部分度部门决算情况说明</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一、收入支出决算总体情况说明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二、收入决算情况说明</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三、支出决算情况说明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四、财政拨款收入支出决算总体情况说明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五、一般公共预算财政拨款支出决算情况说明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六、一般公共预算财政拨款基本支出决算情况说明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10</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七、“三公”经费财政拨款支出决算情况说明</w:t>
      </w:r>
      <w:r>
        <w:rPr>
          <w:rFonts w:hint="default" w:ascii="Times New Roman" w:hAnsi="Times New Roman" w:eastAsia="方正仿宋简体" w:cs="Times New Roman"/>
          <w:b/>
          <w:bCs/>
          <w:sz w:val="24"/>
          <w:szCs w:val="24"/>
          <w:lang w:eastAsia="zh-CN"/>
        </w:rPr>
        <w:t>…………………………………</w:t>
      </w:r>
      <w:r>
        <w:rPr>
          <w:rFonts w:hint="eastAsia" w:ascii="Times New Roman" w:hAnsi="Times New Roman" w:eastAsia="方正仿宋简体" w:cs="Times New Roman"/>
          <w:b/>
          <w:bCs/>
          <w:sz w:val="24"/>
          <w:szCs w:val="24"/>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八、政府性基金预算支出决算情况说明</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1</w:t>
      </w:r>
      <w:r>
        <w:rPr>
          <w:rFonts w:hint="eastAsia" w:ascii="Times New Roman" w:hAnsi="Times New Roman" w:eastAsia="方正仿宋简体" w:cs="Times New Roman"/>
          <w:b/>
          <w:bCs/>
          <w:sz w:val="24"/>
          <w:szCs w:val="24"/>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line="578" w:lineRule="exact"/>
        <w:ind w:leftChars="0"/>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九、国有资本经营预算支出决算情况说明</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1</w:t>
      </w:r>
      <w:r>
        <w:rPr>
          <w:rFonts w:hint="eastAsia" w:ascii="Times New Roman" w:hAnsi="Times New Roman" w:eastAsia="方正仿宋简体" w:cs="Times New Roman"/>
          <w:b/>
          <w:bCs/>
          <w:sz w:val="24"/>
          <w:szCs w:val="24"/>
          <w:lang w:val="en-US" w:eastAsia="zh-CN"/>
        </w:rPr>
        <w:t>3</w:t>
      </w:r>
    </w:p>
    <w:p>
      <w:pPr>
        <w:keepNext w:val="0"/>
        <w:keepLines w:val="0"/>
        <w:pageBreakBefore w:val="0"/>
        <w:widowControl w:val="0"/>
        <w:kinsoku/>
        <w:wordWrap/>
        <w:overflowPunct/>
        <w:topLinePunct w:val="0"/>
        <w:autoSpaceDE/>
        <w:autoSpaceDN/>
        <w:bidi w:val="0"/>
        <w:adjustRightInd w:val="0"/>
        <w:snapToGrid w:val="0"/>
        <w:spacing w:line="578" w:lineRule="exact"/>
        <w:ind w:firstLine="480" w:firstLineChars="200"/>
        <w:jc w:val="left"/>
        <w:textAlignment w:val="auto"/>
        <w:rPr>
          <w:rFonts w:hint="default" w:ascii="Times New Roman" w:hAnsi="Times New Roman" w:eastAsia="方正仿宋简体" w:cs="Times New Roman"/>
          <w:b/>
          <w:bCs/>
          <w:sz w:val="24"/>
          <w:szCs w:val="24"/>
          <w:lang w:val="en-US"/>
        </w:rPr>
      </w:pPr>
      <w:r>
        <w:rPr>
          <w:rStyle w:val="16"/>
          <w:rFonts w:hint="default" w:ascii="Times New Roman" w:hAnsi="Times New Roman" w:eastAsia="方正仿宋简体" w:cs="Times New Roman"/>
          <w:b/>
          <w:bCs/>
          <w:color w:val="000000"/>
          <w:sz w:val="24"/>
          <w:szCs w:val="24"/>
          <w:u w:val="none"/>
        </w:rPr>
        <w:t>十、</w:t>
      </w:r>
      <w:r>
        <w:rPr>
          <w:rFonts w:hint="default" w:ascii="Times New Roman" w:hAnsi="Times New Roman" w:eastAsia="方正仿宋简体" w:cs="Times New Roman"/>
          <w:b/>
          <w:bCs/>
          <w:sz w:val="24"/>
          <w:szCs w:val="24"/>
        </w:rPr>
        <w:t>其他重要事项的情况说明</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1</w:t>
      </w:r>
      <w:r>
        <w:rPr>
          <w:rFonts w:hint="eastAsia" w:ascii="Times New Roman" w:hAnsi="Times New Roman" w:eastAsia="方正仿宋简体" w:cs="Times New Roman"/>
          <w:b/>
          <w:bCs/>
          <w:sz w:val="24"/>
          <w:szCs w:val="24"/>
          <w:lang w:val="en-US" w:eastAsia="zh-CN"/>
        </w:rPr>
        <w:t>3</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黑体简体" w:cs="Times New Roman"/>
          <w:b/>
          <w:bCs/>
          <w:sz w:val="24"/>
          <w:szCs w:val="24"/>
        </w:rPr>
        <w:t>第三部分 名词解释</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1</w:t>
      </w:r>
      <w:r>
        <w:rPr>
          <w:rFonts w:hint="eastAsia" w:ascii="Times New Roman" w:hAnsi="Times New Roman" w:eastAsia="方正仿宋简体" w:cs="Times New Roman"/>
          <w:b/>
          <w:bCs/>
          <w:sz w:val="24"/>
          <w:szCs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第四部分 附件</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附件1</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1</w:t>
      </w:r>
      <w:r>
        <w:rPr>
          <w:rFonts w:hint="eastAsia" w:ascii="Times New Roman" w:hAnsi="Times New Roman" w:eastAsia="方正仿宋简体" w:cs="Times New Roman"/>
          <w:b/>
          <w:bCs/>
          <w:sz w:val="24"/>
          <w:szCs w:val="24"/>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仿宋简体" w:cs="Times New Roman"/>
          <w:b/>
          <w:bCs/>
          <w:sz w:val="24"/>
          <w:szCs w:val="24"/>
        </w:rPr>
        <w:t>附件2</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2</w:t>
      </w:r>
      <w:r>
        <w:rPr>
          <w:rFonts w:hint="eastAsia" w:ascii="Times New Roman" w:hAnsi="Times New Roman" w:eastAsia="方正仿宋简体" w:cs="Times New Roman"/>
          <w:b/>
          <w:bCs/>
          <w:sz w:val="24"/>
          <w:szCs w:val="24"/>
          <w:lang w:val="en-US" w:eastAsia="zh-CN"/>
        </w:rPr>
        <w:t>0</w:t>
      </w:r>
    </w:p>
    <w:p>
      <w:pPr>
        <w:pStyle w:val="11"/>
        <w:keepNext w:val="0"/>
        <w:keepLines w:val="0"/>
        <w:pageBreakBefore w:val="0"/>
        <w:widowControl w:val="0"/>
        <w:kinsoku/>
        <w:wordWrap/>
        <w:overflowPunct/>
        <w:topLinePunct w:val="0"/>
        <w:autoSpaceDE/>
        <w:autoSpaceDN/>
        <w:bidi w:val="0"/>
        <w:adjustRightInd w:val="0"/>
        <w:snapToGrid w:val="0"/>
        <w:spacing w:before="0" w:line="578" w:lineRule="exact"/>
        <w:jc w:val="left"/>
        <w:textAlignment w:val="auto"/>
        <w:rPr>
          <w:rFonts w:hint="default" w:ascii="Times New Roman" w:hAnsi="Times New Roman" w:eastAsia="方正仿宋简体" w:cs="Times New Roman"/>
          <w:b/>
          <w:bCs/>
          <w:sz w:val="24"/>
          <w:szCs w:val="24"/>
          <w:lang w:val="en-US"/>
        </w:rPr>
      </w:pPr>
      <w:r>
        <w:rPr>
          <w:rFonts w:hint="default" w:ascii="Times New Roman" w:hAnsi="Times New Roman" w:eastAsia="方正黑体简体" w:cs="Times New Roman"/>
          <w:b/>
          <w:bCs/>
          <w:sz w:val="24"/>
          <w:szCs w:val="24"/>
        </w:rPr>
        <w:t>第五部分 附表</w:t>
      </w:r>
      <w:r>
        <w:rPr>
          <w:rFonts w:hint="default" w:ascii="Times New Roman" w:hAnsi="Times New Roman" w:eastAsia="方正仿宋简体" w:cs="Times New Roman"/>
          <w:b/>
          <w:bCs/>
          <w:sz w:val="24"/>
          <w:szCs w:val="24"/>
          <w:lang w:eastAsia="zh-CN"/>
        </w:rPr>
        <w:t>………………………………………………………………………</w:t>
      </w:r>
      <w:r>
        <w:rPr>
          <w:rFonts w:hint="default" w:ascii="Times New Roman" w:hAnsi="Times New Roman" w:eastAsia="方正仿宋简体" w:cs="Times New Roman"/>
          <w:b/>
          <w:bCs/>
          <w:sz w:val="24"/>
          <w:szCs w:val="24"/>
          <w:lang w:val="en-US" w:eastAsia="zh-CN"/>
        </w:rPr>
        <w:t>2</w:t>
      </w:r>
      <w:r>
        <w:rPr>
          <w:rFonts w:hint="eastAsia" w:ascii="Times New Roman" w:hAnsi="Times New Roman" w:eastAsia="方正仿宋简体" w:cs="Times New Roman"/>
          <w:b/>
          <w:bCs/>
          <w:sz w:val="24"/>
          <w:szCs w:val="24"/>
          <w:lang w:val="en-US" w:eastAsia="zh-CN"/>
        </w:rPr>
        <w:t>5</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一、收入支出决算总表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二、收入决算表</w:t>
      </w:r>
      <w:bookmarkStart w:id="75" w:name="_GoBack"/>
      <w:bookmarkEnd w:id="75"/>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三、支出决算表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四、财政拨款收入支出决算总表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五、财政拨款支出决算明细表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六、一般公共预算财政拨款支出决算表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七、一般公共预算财政拨款支出决算明细表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八、一般公共预算财政拨款基本支出决算表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九、一般公共预算财政拨款项目支出决算表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十、一般公共预算财政拨款“三公”经费支出决算表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十一、政府性基金预算财政拨款收入支出决算表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十二、政府性基金预算财政拨款“三公”经费支出决算表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十三、国有资本经营预算财政拨款收入支出决算表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十四、国有资本经营预算财政拨款支出决算表</w:t>
      </w:r>
    </w:p>
    <w:p>
      <w:pPr>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p>
      <w:pPr>
        <w:pStyle w:val="2"/>
        <w:pageBreakBefore w:val="0"/>
        <w:kinsoku/>
        <w:wordWrap/>
        <w:overflowPunct/>
        <w:topLinePunct w:val="0"/>
        <w:bidi w:val="0"/>
        <w:spacing w:line="578" w:lineRule="exact"/>
        <w:rPr>
          <w:rFonts w:hint="default" w:ascii="Times New Roman" w:hAnsi="Times New Roman" w:eastAsia="方正仿宋简体" w:cs="Times New Roman"/>
          <w:b/>
          <w:bCs/>
          <w:sz w:val="24"/>
          <w:szCs w:val="24"/>
        </w:rPr>
      </w:pPr>
    </w:p>
    <w:bookmarkEnd w:id="12"/>
    <w:bookmarkEnd w:id="13"/>
    <w:p>
      <w:pPr>
        <w:pStyle w:val="3"/>
        <w:pageBreakBefore w:val="0"/>
        <w:widowControl w:val="0"/>
        <w:kinsoku/>
        <w:wordWrap/>
        <w:overflowPunct/>
        <w:topLinePunct w:val="0"/>
        <w:autoSpaceDE/>
        <w:autoSpaceDN/>
        <w:bidi w:val="0"/>
        <w:spacing w:line="578" w:lineRule="exact"/>
        <w:jc w:val="center"/>
        <w:textAlignment w:val="auto"/>
        <w:rPr>
          <w:rStyle w:val="25"/>
          <w:rFonts w:hint="default" w:ascii="Times New Roman" w:hAnsi="Times New Roman" w:eastAsia="方正小标宋简体" w:cs="Times New Roman"/>
          <w:b/>
          <w:bCs w:val="0"/>
        </w:rPr>
      </w:pPr>
      <w:bookmarkStart w:id="14" w:name="_Toc15396600"/>
      <w:bookmarkStart w:id="15" w:name="_Toc15377197"/>
      <w:r>
        <w:rPr>
          <w:rFonts w:hint="default" w:ascii="Times New Roman" w:hAnsi="Times New Roman" w:eastAsia="方正小标宋简体" w:cs="Times New Roman"/>
          <w:b/>
          <w:bCs w:val="0"/>
        </w:rPr>
        <w:t xml:space="preserve">第一部分 </w:t>
      </w:r>
      <w:r>
        <w:rPr>
          <w:rStyle w:val="25"/>
          <w:rFonts w:hint="default" w:ascii="Times New Roman" w:hAnsi="Times New Roman" w:eastAsia="方正小标宋简体" w:cs="Times New Roman"/>
          <w:b/>
          <w:bCs w:val="0"/>
        </w:rPr>
        <w:t>部门概况</w:t>
      </w:r>
    </w:p>
    <w:bookmarkEnd w:id="14"/>
    <w:bookmarkEnd w:id="15"/>
    <w:p>
      <w:pPr>
        <w:pStyle w:val="7"/>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eastAsia" w:ascii="Times New Roman" w:hAnsi="Times New Roman" w:eastAsia="方正黑体简体" w:cs="Times New Roman"/>
          <w:b/>
          <w:bCs/>
          <w:kern w:val="0"/>
          <w:sz w:val="32"/>
          <w:szCs w:val="32"/>
          <w:lang w:val="en-US" w:eastAsia="zh-CN" w:bidi="ar-SA"/>
        </w:rPr>
      </w:pPr>
      <w:r>
        <w:rPr>
          <w:rFonts w:hint="eastAsia" w:ascii="Times New Roman" w:hAnsi="Times New Roman" w:eastAsia="方正黑体简体" w:cs="Times New Roman"/>
          <w:b/>
          <w:bCs/>
          <w:kern w:val="0"/>
          <w:sz w:val="32"/>
          <w:szCs w:val="32"/>
          <w:lang w:val="en-US" w:eastAsia="zh-CN" w:bidi="ar-SA"/>
        </w:rPr>
        <w:t>一、基本职能及主要工作</w:t>
      </w:r>
    </w:p>
    <w:p>
      <w:pPr>
        <w:pStyle w:val="7"/>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default" w:ascii="Times New Roman" w:hAnsi="Times New Roman" w:eastAsia="方正楷体简体" w:cs="Times New Roman"/>
          <w:b/>
          <w:bCs/>
          <w:kern w:val="0"/>
          <w:sz w:val="32"/>
          <w:szCs w:val="32"/>
          <w:lang w:val="en-US" w:eastAsia="zh-CN" w:bidi="ar-SA"/>
        </w:rPr>
      </w:pPr>
      <w:r>
        <w:rPr>
          <w:rFonts w:hint="eastAsia" w:ascii="Times New Roman" w:hAnsi="Times New Roman" w:eastAsia="方正楷体简体" w:cs="Times New Roman"/>
          <w:b/>
          <w:bCs/>
          <w:kern w:val="0"/>
          <w:sz w:val="32"/>
          <w:szCs w:val="32"/>
          <w:lang w:val="en-US" w:eastAsia="zh-CN" w:bidi="ar-SA"/>
        </w:rPr>
        <w:t>（一）主要职能</w:t>
      </w:r>
    </w:p>
    <w:p>
      <w:pPr>
        <w:pStyle w:val="7"/>
        <w:pageBreakBefore w:val="0"/>
        <w:widowControl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负责县委、县政府对外接待工作。参与协调县委、县政府领导外联活动，为重要政务和商务活动提供接待服务；负责县级机关事业单位节能管理工作；负责公车管理工作；指导县级各部门、各镇（街道）机关事务工作。</w:t>
      </w:r>
    </w:p>
    <w:p>
      <w:pPr>
        <w:pStyle w:val="7"/>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default" w:ascii="Times New Roman" w:hAnsi="Times New Roman" w:eastAsia="方正仿宋简体" w:cs="Times New Roman"/>
          <w:b/>
          <w:bCs/>
          <w:kern w:val="0"/>
          <w:sz w:val="32"/>
          <w:szCs w:val="32"/>
          <w:lang w:val="en-US" w:eastAsia="zh-CN" w:bidi="ar-SA"/>
        </w:rPr>
      </w:pPr>
      <w:bookmarkStart w:id="16" w:name="_Toc15378446"/>
      <w:bookmarkStart w:id="17" w:name="_Toc15377199"/>
      <w:r>
        <w:rPr>
          <w:rFonts w:hint="default" w:ascii="Times New Roman" w:hAnsi="Times New Roman" w:eastAsia="方正楷体简体" w:cs="Times New Roman"/>
          <w:b/>
          <w:bCs/>
          <w:kern w:val="0"/>
          <w:sz w:val="32"/>
          <w:szCs w:val="32"/>
          <w:lang w:val="en-US" w:eastAsia="zh-CN" w:bidi="ar-SA"/>
        </w:rPr>
        <w:t>（二）2021年重点工作完成情况</w:t>
      </w:r>
      <w:bookmarkEnd w:id="16"/>
      <w:bookmarkEnd w:id="1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加强管理、高效提升接待职能。一是规范公务接待，加强指导监督；二是注重工作成效，圆满完成国家、省、市、县接待工作；三是提升接待服务水平；四是建立服务泸县经济高质量发展人才库，当前共吸收全县优质接待人才70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2．强化日常监管，做好公务用车保障。一是抓制度落实；二是加强教育与督查；三是重大应急、接待活动车辆保障。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3．服务为先，周转房后勤保障提质增效。全面实施县领导周转房精细化管理，在厉行节约的同时确保干净卫生的就餐环境和安全有序的居住环境。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4．党政机关食堂管理方面。一是下发《关于统计县级机关食堂运行情况的通知》，开展食堂摸底，做到心中有数，全县党政机关共计开设食堂85个，为下一步开展统一配送工作打下基础；二是扎实开展机关食堂厉行节俭，反对餐饮浪费工作，并实现督查全覆盖；三是开展机关食堂油烟治理，结合全县大气污染防治工作，下发《关于全县机关食堂安装油烟净化设施的通知》，督促机关单位带头办理食堂经营相关证照，并及时安装食堂油烟净化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5．科学管理，优化办公用房配置。一是强化办公用房安全管理，全面开展办公用房建筑风险排查，形成台账，梳理出风险点2个并落实整改；二是推进信息化建设，与成都清华高科信息技术有限公司签订信息系统建设项目合同，实现公房管理全省一张网；三是是积极作为，牵头灾后重建。</w:t>
      </w:r>
    </w:p>
    <w:p>
      <w:pPr>
        <w:pStyle w:val="7"/>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6．宣传示范，推进公共机构节能。一是建立公共机构节能工作协调小组，加强与各部门分工协作、齐抓共管的长效机制；二是做好能耗统计审核和票据自查工作；三是积极开展公共机构节能宣传周系列活动，今年有25家县级部门正积极争创节约型机关示范单位，并完成1家节约型机关示范点建设；四是持续开展“六大绿色行动”，重点开展厉行节约制止餐饮浪费行为专项行动，扎实做好公共机构禁塑的相关工作；五是持续推进垃圾分类工作，实现垃圾分类系统化管理，今年有33家县级部门完成生活垃圾分类工作评估并达到合格以上标准；六是加强对重点用能单位的管理，提高能源资源利用效率，加快新能源汽车的推广应用和充电桩的建设。</w:t>
      </w:r>
      <w:bookmarkStart w:id="18" w:name="_Toc15396601"/>
      <w:bookmarkStart w:id="19" w:name="_Toc15377200"/>
    </w:p>
    <w:p>
      <w:pPr>
        <w:pStyle w:val="7"/>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二、机构设置</w:t>
      </w:r>
      <w:bookmarkEnd w:id="18"/>
      <w:bookmarkEnd w:id="19"/>
    </w:p>
    <w:p>
      <w:pPr>
        <w:pStyle w:val="7"/>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泸县机关事务服务中心是财政全额拨款的事业单位，属于一级预算单位，无下属二级单位。</w:t>
      </w:r>
      <w:bookmarkStart w:id="20" w:name="_Toc15377204"/>
      <w:bookmarkStart w:id="21" w:name="_Toc15396602"/>
    </w:p>
    <w:p>
      <w:pPr>
        <w:pageBreakBefore w:val="0"/>
        <w:widowControl/>
        <w:kinsoku/>
        <w:wordWrap/>
        <w:overflowPunct/>
        <w:topLinePunct w:val="0"/>
        <w:autoSpaceDE/>
        <w:autoSpaceDN/>
        <w:bidi w:val="0"/>
        <w:spacing w:line="578" w:lineRule="exact"/>
        <w:jc w:val="both"/>
        <w:textAlignment w:val="auto"/>
        <w:rPr>
          <w:rFonts w:hint="default" w:ascii="Times New Roman" w:hAnsi="Times New Roman" w:eastAsia="方正小标宋简体" w:cs="Times New Roman"/>
          <w:b/>
          <w:bCs w:val="0"/>
          <w:kern w:val="44"/>
          <w:sz w:val="44"/>
          <w:szCs w:val="44"/>
          <w:lang w:val="en-US" w:eastAsia="zh-CN" w:bidi="ar-SA"/>
        </w:rPr>
      </w:pPr>
    </w:p>
    <w:p>
      <w:pPr>
        <w:pageBreakBefore w:val="0"/>
        <w:widowControl/>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
          <w:bCs w:val="0"/>
          <w:kern w:val="44"/>
          <w:sz w:val="44"/>
          <w:szCs w:val="44"/>
          <w:lang w:val="en-US" w:eastAsia="zh-CN" w:bidi="ar-SA"/>
        </w:rPr>
      </w:pPr>
      <w:r>
        <w:rPr>
          <w:rFonts w:hint="default" w:ascii="Times New Roman" w:hAnsi="Times New Roman" w:eastAsia="方正小标宋简体" w:cs="Times New Roman"/>
          <w:b/>
          <w:bCs w:val="0"/>
          <w:kern w:val="44"/>
          <w:sz w:val="44"/>
          <w:szCs w:val="44"/>
          <w:lang w:val="en-US" w:eastAsia="zh-CN" w:bidi="ar-SA"/>
        </w:rPr>
        <w:t>第二部分 2021年度部门决算情况说明</w:t>
      </w:r>
      <w:bookmarkEnd w:id="20"/>
      <w:bookmarkEnd w:id="21"/>
    </w:p>
    <w:p>
      <w:pPr>
        <w:pStyle w:val="2"/>
        <w:pageBreakBefore w:val="0"/>
        <w:kinsoku/>
        <w:wordWrap/>
        <w:overflowPunct/>
        <w:topLinePunct w:val="0"/>
        <w:bidi w:val="0"/>
        <w:spacing w:line="578" w:lineRule="exact"/>
        <w:rPr>
          <w:rFonts w:hint="default" w:ascii="Times New Roman" w:hAnsi="Times New Roman" w:cs="Times New Roman"/>
          <w:lang w:val="en-US" w:eastAsia="zh-CN"/>
        </w:rPr>
      </w:pPr>
    </w:p>
    <w:p>
      <w:pPr>
        <w:pStyle w:val="24"/>
        <w:pageBreakBefore w:val="0"/>
        <w:numPr>
          <w:ilvl w:val="0"/>
          <w:numId w:val="1"/>
        </w:numPr>
        <w:kinsoku/>
        <w:wordWrap/>
        <w:overflowPunct/>
        <w:topLinePunct w:val="0"/>
        <w:autoSpaceDE/>
        <w:autoSpaceDN/>
        <w:bidi w:val="0"/>
        <w:spacing w:line="578" w:lineRule="exact"/>
        <w:ind w:firstLineChars="0"/>
        <w:textAlignment w:val="auto"/>
        <w:outlineLvl w:val="1"/>
        <w:rPr>
          <w:rFonts w:hint="default" w:ascii="Times New Roman" w:hAnsi="Times New Roman" w:eastAsia="方正黑体简体" w:cs="Times New Roman"/>
          <w:b/>
          <w:bCs/>
          <w:kern w:val="0"/>
          <w:sz w:val="32"/>
          <w:szCs w:val="32"/>
          <w:lang w:val="en-US" w:eastAsia="zh-CN" w:bidi="ar-SA"/>
        </w:rPr>
      </w:pPr>
      <w:bookmarkStart w:id="22" w:name="_Toc15396603"/>
      <w:bookmarkStart w:id="23" w:name="_Toc15377205"/>
      <w:r>
        <w:rPr>
          <w:rFonts w:hint="default" w:ascii="Times New Roman" w:hAnsi="Times New Roman" w:eastAsia="方正黑体简体" w:cs="Times New Roman"/>
          <w:b/>
          <w:bCs/>
          <w:kern w:val="0"/>
          <w:sz w:val="32"/>
          <w:szCs w:val="32"/>
          <w:lang w:val="en-US" w:eastAsia="zh-CN" w:bidi="ar-SA"/>
        </w:rPr>
        <w:t>收入支出决算总体情况说明</w:t>
      </w:r>
      <w:bookmarkEnd w:id="22"/>
      <w:bookmarkEnd w:id="23"/>
    </w:p>
    <w:p>
      <w:pPr>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2021年度收入812.65万元，与2020年886.91万元相比，收入减少74.26万元，下降8.37%，主要变动原因是减少公务车购置等。</w:t>
      </w:r>
    </w:p>
    <w:p>
      <w:pPr>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2021年度支出812.65万元，与2020年886.91万元相比，支出减少74.26万元，下降8.37%，主要变动原因是减少公务车购置等。</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（图1：收、支决算总计变动情况图）（柱状图）</w:t>
      </w:r>
    </w:p>
    <w:p>
      <w:pPr>
        <w:pStyle w:val="2"/>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inline distT="0" distB="0" distL="114300" distR="114300">
            <wp:extent cx="4351655" cy="2104390"/>
            <wp:effectExtent l="4445" t="5080" r="17780"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1"/>
        <w:rPr>
          <w:rFonts w:hint="default" w:ascii="Times New Roman" w:hAnsi="Times New Roman" w:eastAsia="方正黑体简体" w:cs="Times New Roman"/>
          <w:b/>
          <w:bCs/>
          <w:kern w:val="0"/>
          <w:sz w:val="32"/>
          <w:szCs w:val="32"/>
          <w:lang w:val="en-US" w:eastAsia="zh-CN" w:bidi="ar-SA"/>
        </w:rPr>
      </w:pPr>
      <w:bookmarkStart w:id="24" w:name="_Toc15396604"/>
      <w:bookmarkStart w:id="25" w:name="_Toc15377206"/>
      <w:r>
        <w:rPr>
          <w:rFonts w:hint="default" w:ascii="Times New Roman" w:hAnsi="Times New Roman" w:eastAsia="方正黑体简体" w:cs="Times New Roman"/>
          <w:b/>
          <w:bCs/>
          <w:kern w:val="0"/>
          <w:sz w:val="32"/>
          <w:szCs w:val="32"/>
          <w:lang w:val="en-US" w:eastAsia="zh-CN" w:bidi="ar-SA"/>
        </w:rPr>
        <w:t>收入决算情况说明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本年收入合计812.65万元，其中：一般公共预算财政拨款收入630.05万元，占77.53%；政府性基金预算财政拨款收入0万元，占0%；国有资本经营预算财政拨款收入0万元，占0%；上级补助收入0万元，占0%；事业收入0万元，占0%；经营收入0万元，占0%；附属单位上缴收入0万元，占0%；其他收入0万元，占0%；年初结转和结余182.6万元，占22.47%。</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（图2：收入决算结构图）（饼状图）</w:t>
      </w:r>
    </w:p>
    <w:p>
      <w:pPr>
        <w:pStyle w:val="2"/>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inline distT="0" distB="0" distL="114300" distR="114300">
            <wp:extent cx="4061460" cy="1838325"/>
            <wp:effectExtent l="4445" t="5080" r="18415" b="1587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keepNext w:val="0"/>
        <w:keepLines w:val="0"/>
        <w:pageBreakBefore w:val="0"/>
        <w:widowControl w:val="0"/>
        <w:numPr>
          <w:ilvl w:val="0"/>
          <w:numId w:val="1"/>
        </w:numPr>
        <w:kinsoku/>
        <w:wordWrap/>
        <w:overflowPunct/>
        <w:topLinePunct w:val="0"/>
        <w:autoSpaceDE/>
        <w:autoSpaceDN/>
        <w:bidi w:val="0"/>
        <w:adjustRightInd/>
        <w:snapToGrid/>
        <w:spacing w:line="240" w:lineRule="auto"/>
        <w:ind w:left="1361" w:firstLineChars="0"/>
        <w:textAlignment w:val="auto"/>
        <w:outlineLvl w:val="1"/>
        <w:rPr>
          <w:rFonts w:hint="default" w:ascii="Times New Roman" w:hAnsi="Times New Roman" w:eastAsia="方正黑体简体" w:cs="Times New Roman"/>
          <w:b/>
          <w:bCs/>
          <w:kern w:val="0"/>
          <w:sz w:val="32"/>
          <w:szCs w:val="32"/>
          <w:lang w:val="en-US" w:eastAsia="zh-CN" w:bidi="ar-SA"/>
        </w:rPr>
      </w:pPr>
      <w:bookmarkStart w:id="26" w:name="_Toc15396605"/>
      <w:bookmarkStart w:id="27" w:name="_Toc15377207"/>
      <w:r>
        <w:rPr>
          <w:rFonts w:hint="default" w:ascii="Times New Roman" w:hAnsi="Times New Roman" w:eastAsia="方正黑体简体" w:cs="Times New Roman"/>
          <w:b/>
          <w:bCs/>
          <w:kern w:val="0"/>
          <w:sz w:val="32"/>
          <w:szCs w:val="32"/>
          <w:lang w:val="en-US" w:eastAsia="zh-CN" w:bidi="ar-SA"/>
        </w:rPr>
        <w:t>支出决算情况说明</w:t>
      </w:r>
      <w:bookmarkEnd w:id="26"/>
      <w:bookmarkEnd w:id="27"/>
    </w:p>
    <w:p>
      <w:pPr>
        <w:pageBreakBefore w:val="0"/>
        <w:kinsoku/>
        <w:wordWrap/>
        <w:overflowPunct/>
        <w:topLinePunct w:val="0"/>
        <w:bidi w:val="0"/>
        <w:spacing w:line="578" w:lineRule="exact"/>
        <w:ind w:firstLine="640" w:firstLineChars="200"/>
        <w:outlineLvl w:val="1"/>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2021年本年支出合计812.65万元，其中：基本支出209.60万元，占25.79%；项目支出603.05万元，占74.21%；上缴上级支出0万元，占0%；经营支出0万元，占0%；对附属单位补助支出0万元，占0%。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方正仿宋简体" w:cs="Times New Roman"/>
          <w:b/>
          <w:bCs/>
          <w:kern w:val="0"/>
          <w:sz w:val="32"/>
          <w:szCs w:val="32"/>
          <w:lang w:val="en-US" w:eastAsia="zh-CN" w:bidi="ar-SA"/>
        </w:rPr>
      </w:pPr>
      <w:bookmarkStart w:id="28" w:name="_Toc15396606"/>
      <w:bookmarkStart w:id="29" w:name="_Toc15377208"/>
      <w:r>
        <w:rPr>
          <w:rFonts w:hint="default" w:ascii="Times New Roman" w:hAnsi="Times New Roman" w:eastAsia="方正仿宋简体" w:cs="Times New Roman"/>
          <w:b/>
          <w:bCs/>
          <w:kern w:val="0"/>
          <w:sz w:val="32"/>
          <w:szCs w:val="32"/>
          <w:lang w:val="en-US" w:eastAsia="zh-CN" w:bidi="ar-SA"/>
        </w:rPr>
        <w:drawing>
          <wp:inline distT="0" distB="0" distL="114300" distR="114300">
            <wp:extent cx="3728085" cy="1849120"/>
            <wp:effectExtent l="4445" t="4445" r="16510" b="571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四、财政拨款收入支出决算总体情况说明</w:t>
      </w:r>
      <w:bookmarkEnd w:id="28"/>
      <w:bookmarkEnd w:id="29"/>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2021年财政拨款收入总计812.65万元。与2020年886.91万元相比，收入减少74.26万元，下降8.37%，主要变动原因是减少公务车购置等。</w:t>
      </w:r>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2021年财政拨款支出总计812.65万元。与2020年886.91万元相比，支出减少74.26万元，下降8.37%，主要变动原因是减少公务车购置等。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inline distT="0" distB="0" distL="114300" distR="114300">
            <wp:extent cx="5456555" cy="2095500"/>
            <wp:effectExtent l="4445" t="4445" r="10160" b="1841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黑体简体" w:cs="Times New Roman"/>
          <w:b/>
          <w:bCs/>
          <w:kern w:val="0"/>
          <w:sz w:val="32"/>
          <w:szCs w:val="32"/>
          <w:lang w:val="en-US" w:eastAsia="zh-CN" w:bidi="ar-SA"/>
        </w:rPr>
      </w:pPr>
      <w:bookmarkStart w:id="30" w:name="_Toc15396607"/>
      <w:bookmarkStart w:id="31" w:name="_Toc15377209"/>
      <w:r>
        <w:rPr>
          <w:rFonts w:hint="default" w:ascii="Times New Roman" w:hAnsi="Times New Roman" w:eastAsia="方正黑体简体" w:cs="Times New Roman"/>
          <w:b/>
          <w:bCs/>
          <w:kern w:val="0"/>
          <w:sz w:val="32"/>
          <w:szCs w:val="32"/>
          <w:lang w:val="en-US" w:eastAsia="zh-CN" w:bidi="ar-SA"/>
        </w:rPr>
        <w:t>五、一般公共预算财政拨款支出决算情况说明</w:t>
      </w:r>
      <w:bookmarkEnd w:id="30"/>
      <w:bookmarkEnd w:id="31"/>
    </w:p>
    <w:p>
      <w:pPr>
        <w:pageBreakBefore w:val="0"/>
        <w:kinsoku/>
        <w:wordWrap/>
        <w:overflowPunct/>
        <w:topLinePunct w:val="0"/>
        <w:bidi w:val="0"/>
        <w:spacing w:line="578" w:lineRule="exact"/>
        <w:ind w:firstLine="643" w:firstLineChars="200"/>
        <w:outlineLvl w:val="2"/>
        <w:rPr>
          <w:rFonts w:hint="default" w:ascii="Times New Roman" w:hAnsi="Times New Roman" w:eastAsia="方正楷体简体" w:cs="Times New Roman"/>
          <w:b/>
          <w:bCs/>
          <w:kern w:val="0"/>
          <w:sz w:val="32"/>
          <w:szCs w:val="32"/>
          <w:lang w:val="en-US" w:eastAsia="zh-CN" w:bidi="ar-SA"/>
        </w:rPr>
      </w:pPr>
      <w:bookmarkStart w:id="32" w:name="_Toc15377210"/>
      <w:r>
        <w:rPr>
          <w:rFonts w:hint="default" w:ascii="Times New Roman" w:hAnsi="Times New Roman" w:eastAsia="方正楷体简体" w:cs="Times New Roman"/>
          <w:b/>
          <w:bCs/>
          <w:kern w:val="0"/>
          <w:sz w:val="32"/>
          <w:szCs w:val="32"/>
          <w:lang w:val="en-US" w:eastAsia="zh-CN" w:bidi="ar-SA"/>
        </w:rPr>
        <w:t>（一）一般公共预算财政拨款支出决算总体情况</w:t>
      </w:r>
      <w:bookmarkEnd w:id="32"/>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2021年一般公共预算财政拨款支出812.65万元，占本年支出合计的100%。与2020年886.91万元相比，一般公共预算财政拨款减少74.26万元，下降8.37%，主要变动原因是减少公务车购置等。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inline distT="0" distB="0" distL="114300" distR="114300">
            <wp:extent cx="5013960" cy="1835150"/>
            <wp:effectExtent l="4445" t="4445" r="10795" b="19685"/>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方正仿宋简体" w:cs="Times New Roman"/>
          <w:b/>
          <w:bCs/>
          <w:kern w:val="0"/>
          <w:sz w:val="32"/>
          <w:szCs w:val="32"/>
          <w:lang w:val="en-US" w:eastAsia="zh-CN" w:bidi="ar-SA"/>
        </w:rPr>
      </w:pPr>
      <w:bookmarkStart w:id="33" w:name="_Toc15377211"/>
      <w:r>
        <w:rPr>
          <w:rFonts w:hint="default" w:ascii="Times New Roman" w:hAnsi="Times New Roman" w:eastAsia="方正楷体简体" w:cs="Times New Roman"/>
          <w:b/>
          <w:bCs/>
          <w:kern w:val="0"/>
          <w:sz w:val="32"/>
          <w:szCs w:val="32"/>
          <w:lang w:val="en-US" w:eastAsia="zh-CN" w:bidi="ar-SA"/>
        </w:rPr>
        <w:t>（二）一般公共预算财政拨款支出决算结构情况</w:t>
      </w:r>
      <w:bookmarkEnd w:id="33"/>
    </w:p>
    <w:p>
      <w:pPr>
        <w:pStyle w:val="2"/>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一般公共预算财政拨款支出812.65万元，主要用于以下方面:一般公共服务（类）支出788.64万元，占97.05%；社会保障和就业（类）支出10.43万元，占1.28%；卫生健康支出5.76万元，占0.71%；住房保障支出7.82万元，占0.96%。</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（图6：一般公共预算财政拨款支出决算结构）（饼状图）</w:t>
      </w:r>
      <w:bookmarkStart w:id="34" w:name="_Toc15377212"/>
    </w:p>
    <w:p>
      <w:pPr>
        <w:pageBreakBefore w:val="0"/>
        <w:kinsoku/>
        <w:wordWrap/>
        <w:overflowPunct/>
        <w:topLinePunct w:val="0"/>
        <w:bidi w:val="0"/>
        <w:spacing w:line="578" w:lineRule="exact"/>
        <w:jc w:val="center"/>
        <w:outlineLvl w:val="2"/>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anchor distT="0" distB="0" distL="114300" distR="114300" simplePos="0" relativeHeight="251659264" behindDoc="0" locked="0" layoutInCell="1" allowOverlap="1">
            <wp:simplePos x="0" y="0"/>
            <wp:positionH relativeFrom="column">
              <wp:posOffset>621665</wp:posOffset>
            </wp:positionH>
            <wp:positionV relativeFrom="paragraph">
              <wp:posOffset>73025</wp:posOffset>
            </wp:positionV>
            <wp:extent cx="4328160" cy="3199765"/>
            <wp:effectExtent l="4445" t="4445" r="10795" b="1143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outlineLvl w:val="2"/>
        <w:rPr>
          <w:rFonts w:hint="default" w:ascii="Times New Roman" w:hAnsi="Times New Roman" w:eastAsia="方正仿宋简体" w:cs="Times New Roman"/>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楷体简体" w:cs="Times New Roman"/>
          <w:b/>
          <w:bCs/>
          <w:kern w:val="0"/>
          <w:sz w:val="32"/>
          <w:szCs w:val="32"/>
          <w:lang w:val="en-US" w:eastAsia="zh-CN" w:bidi="ar-SA"/>
        </w:rPr>
      </w:pPr>
      <w:r>
        <w:rPr>
          <w:rFonts w:hint="default" w:ascii="Times New Roman" w:hAnsi="Times New Roman" w:eastAsia="方正楷体简体" w:cs="Times New Roman"/>
          <w:b/>
          <w:bCs/>
          <w:kern w:val="0"/>
          <w:sz w:val="32"/>
          <w:szCs w:val="32"/>
          <w:lang w:val="en-US" w:eastAsia="zh-CN" w:bidi="ar-SA"/>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楷体简体" w:cs="Times New Roman"/>
          <w:b/>
          <w:bCs/>
          <w:kern w:val="0"/>
          <w:sz w:val="32"/>
          <w:szCs w:val="32"/>
          <w:lang w:val="en-US" w:eastAsia="zh-CN" w:bidi="ar-SA"/>
        </w:rPr>
      </w:pPr>
      <w:bookmarkStart w:id="35" w:name="_Toc15377213"/>
      <w:bookmarkStart w:id="36" w:name="_Toc15378460"/>
      <w:bookmarkStart w:id="37" w:name="_Toc15377444"/>
      <w:r>
        <w:rPr>
          <w:rFonts w:hint="default" w:ascii="Times New Roman" w:hAnsi="Times New Roman" w:eastAsia="方正楷体简体" w:cs="Times New Roman"/>
          <w:b/>
          <w:bCs/>
          <w:kern w:val="0"/>
          <w:sz w:val="32"/>
          <w:szCs w:val="32"/>
          <w:lang w:val="en-US" w:eastAsia="zh-CN" w:bidi="ar-SA"/>
        </w:rPr>
        <w:t>2021年一般公共预算支出决算数为812.65，完成预算100%。其中：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w:t>
      </w:r>
      <w:bookmarkStart w:id="38" w:name="OLE_LINK2"/>
      <w:bookmarkStart w:id="39" w:name="OLE_LINK1"/>
      <w:r>
        <w:rPr>
          <w:rFonts w:hint="default" w:ascii="Times New Roman" w:hAnsi="Times New Roman" w:eastAsia="方正仿宋简体" w:cs="Times New Roman"/>
          <w:b/>
          <w:bCs/>
          <w:kern w:val="0"/>
          <w:sz w:val="32"/>
          <w:szCs w:val="32"/>
          <w:lang w:val="en-US" w:eastAsia="zh-CN" w:bidi="ar-SA"/>
        </w:rPr>
        <w:t>一般公共服务（类）党委办公厅（室）及相关机构事务（款）事业运行（项）: 支出决算为185.59万元，完成预算100%，与预算数持平。</w:t>
      </w:r>
      <w:bookmarkEnd w:id="38"/>
      <w:bookmarkEnd w:id="39"/>
    </w:p>
    <w:p>
      <w:pPr>
        <w:pStyle w:val="6"/>
        <w:pageBreakBefore w:val="0"/>
        <w:kinsoku/>
        <w:wordWrap/>
        <w:overflowPunct/>
        <w:topLinePunct w:val="0"/>
        <w:bidi w:val="0"/>
        <w:spacing w:line="578" w:lineRule="exact"/>
        <w:ind w:firstLine="632"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 一般公共服务（类）党委办公厅（室）及相关机构事务（款）其他党委办公厅（室）及相关机构事务支出（项）: 支出决算为603.05万元，完成预算100%，与预算数持平。</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3.社会保障和就业（类）行政事业单位离退休（款）机关事业单位基本养老保险缴费支出（项）: 支出决算为10.43万元，完成预算100%，与预算数持平。</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4.卫生健康（类）行政事业单位医疗（款）事业单位医疗</w:t>
      </w:r>
      <w:bookmarkStart w:id="40" w:name="OLE_LINK3"/>
      <w:bookmarkStart w:id="41" w:name="OLE_LINK4"/>
      <w:r>
        <w:rPr>
          <w:rFonts w:hint="default" w:ascii="Times New Roman" w:hAnsi="Times New Roman" w:eastAsia="方正仿宋简体" w:cs="Times New Roman"/>
          <w:b/>
          <w:bCs/>
          <w:kern w:val="0"/>
          <w:sz w:val="32"/>
          <w:szCs w:val="32"/>
          <w:lang w:val="en-US" w:eastAsia="zh-CN" w:bidi="ar-SA"/>
        </w:rPr>
        <w:t>（项）</w:t>
      </w:r>
      <w:bookmarkEnd w:id="40"/>
      <w:bookmarkEnd w:id="41"/>
      <w:r>
        <w:rPr>
          <w:rFonts w:hint="default" w:ascii="Times New Roman" w:hAnsi="Times New Roman" w:eastAsia="方正仿宋简体" w:cs="Times New Roman"/>
          <w:b/>
          <w:bCs/>
          <w:kern w:val="0"/>
          <w:sz w:val="32"/>
          <w:szCs w:val="32"/>
          <w:lang w:val="en-US" w:eastAsia="zh-CN" w:bidi="ar-SA"/>
        </w:rPr>
        <w:t>:支出决算为5.76万元，完成预算100%，与预算数持平。</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5. 住房保障支出（类）住房改革支出（款）住房公积金（项）:支出决算为7.82万元，完成预算100%，与预算数持平。</w:t>
      </w:r>
    </w:p>
    <w:p>
      <w:pPr>
        <w:pageBreakBefore w:val="0"/>
        <w:tabs>
          <w:tab w:val="right" w:pos="8306"/>
        </w:tabs>
        <w:kinsoku/>
        <w:wordWrap/>
        <w:overflowPunct/>
        <w:topLinePunct w:val="0"/>
        <w:bidi w:val="0"/>
        <w:spacing w:line="578" w:lineRule="exact"/>
        <w:ind w:firstLine="640"/>
        <w:outlineLvl w:val="1"/>
        <w:rPr>
          <w:rFonts w:hint="default" w:ascii="Times New Roman" w:hAnsi="Times New Roman" w:eastAsia="方正仿宋简体" w:cs="Times New Roman"/>
          <w:b/>
          <w:bCs/>
          <w:kern w:val="0"/>
          <w:sz w:val="32"/>
          <w:szCs w:val="32"/>
          <w:lang w:val="en-US" w:eastAsia="zh-CN" w:bidi="ar-SA"/>
        </w:rPr>
      </w:pPr>
      <w:bookmarkStart w:id="42" w:name="_Toc15396608"/>
      <w:bookmarkStart w:id="43" w:name="_Toc15377214"/>
      <w:r>
        <w:rPr>
          <w:rFonts w:hint="default" w:ascii="Times New Roman" w:hAnsi="Times New Roman" w:eastAsia="方正黑体简体" w:cs="Times New Roman"/>
          <w:b/>
          <w:bCs/>
          <w:kern w:val="0"/>
          <w:sz w:val="32"/>
          <w:szCs w:val="32"/>
          <w:lang w:val="en-US" w:eastAsia="zh-CN" w:bidi="ar-SA"/>
        </w:rPr>
        <w:t>六、一般公共预算财政拨款基本支出决算情况说明</w:t>
      </w:r>
      <w:bookmarkEnd w:id="42"/>
      <w:bookmarkEnd w:id="43"/>
      <w:r>
        <w:rPr>
          <w:rFonts w:hint="default" w:ascii="Times New Roman" w:hAnsi="Times New Roman" w:eastAsia="方正仿宋简体" w:cs="Times New Roman"/>
          <w:b/>
          <w:bCs/>
          <w:kern w:val="0"/>
          <w:sz w:val="32"/>
          <w:szCs w:val="32"/>
          <w:lang w:val="en-US" w:eastAsia="zh-CN" w:bidi="ar-SA"/>
        </w:rPr>
        <w:tab/>
      </w:r>
    </w:p>
    <w:p>
      <w:pPr>
        <w:pageBreakBefore w:val="0"/>
        <w:kinsoku/>
        <w:wordWrap/>
        <w:overflowPunct/>
        <w:topLinePunct w:val="0"/>
        <w:bidi w:val="0"/>
        <w:spacing w:line="578" w:lineRule="exact"/>
        <w:ind w:firstLine="645"/>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2021年一般公共预算财政拨款基本支出209.60万元，其中：</w:t>
      </w:r>
    </w:p>
    <w:p>
      <w:pPr>
        <w:pageBreakBefore w:val="0"/>
        <w:kinsoku/>
        <w:wordWrap/>
        <w:overflowPunct/>
        <w:topLinePunct w:val="0"/>
        <w:bidi w:val="0"/>
        <w:spacing w:line="578" w:lineRule="exact"/>
        <w:ind w:firstLine="645"/>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人员经费151.48万元，主要包括：基本工资33.14万元、津贴补贴4.36万元、绩效工资89.05万元、机关事业单位基本养老保险缴费10.43万元、职工基本医疗保险缴费5.76万元、其他社会保障缴费0.91万元、住房公积金7.82万元、奖励金0.01万元。</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日常公用经费58.12万元，主要包括：办公费4万元、差旅费4万元、公务接待费47.1万元、工会经费0.71万元、福利费1.01万元、其他商品和服务支出1.3万元。</w:t>
      </w:r>
    </w:p>
    <w:p>
      <w:pPr>
        <w:pageBreakBefore w:val="0"/>
        <w:kinsoku/>
        <w:wordWrap/>
        <w:overflowPunct/>
        <w:topLinePunct w:val="0"/>
        <w:bidi w:val="0"/>
        <w:spacing w:line="578" w:lineRule="exact"/>
        <w:ind w:firstLine="640"/>
        <w:outlineLvl w:val="1"/>
        <w:rPr>
          <w:rFonts w:hint="default" w:ascii="Times New Roman" w:hAnsi="Times New Roman" w:eastAsia="方正黑体简体" w:cs="Times New Roman"/>
          <w:b/>
          <w:bCs/>
          <w:kern w:val="0"/>
          <w:sz w:val="32"/>
          <w:szCs w:val="32"/>
          <w:lang w:val="en-US" w:eastAsia="zh-CN" w:bidi="ar-SA"/>
        </w:rPr>
      </w:pPr>
      <w:bookmarkStart w:id="44" w:name="_Toc15396609"/>
      <w:bookmarkStart w:id="45" w:name="_Toc15377215"/>
      <w:r>
        <w:rPr>
          <w:rFonts w:hint="default" w:ascii="Times New Roman" w:hAnsi="Times New Roman" w:eastAsia="方正黑体简体" w:cs="Times New Roman"/>
          <w:b/>
          <w:bCs/>
          <w:kern w:val="0"/>
          <w:sz w:val="32"/>
          <w:szCs w:val="32"/>
          <w:lang w:val="en-US" w:eastAsia="zh-CN" w:bidi="ar-SA"/>
        </w:rPr>
        <w:t>七、“三公”经费财政拨款支出决算情况说明</w:t>
      </w:r>
      <w:bookmarkEnd w:id="44"/>
      <w:bookmarkEnd w:id="45"/>
    </w:p>
    <w:p>
      <w:pPr>
        <w:pageBreakBefore w:val="0"/>
        <w:kinsoku/>
        <w:wordWrap/>
        <w:overflowPunct/>
        <w:topLinePunct w:val="0"/>
        <w:bidi w:val="0"/>
        <w:spacing w:line="578" w:lineRule="exact"/>
        <w:ind w:firstLine="640"/>
        <w:outlineLvl w:val="2"/>
        <w:rPr>
          <w:rFonts w:hint="default" w:ascii="Times New Roman" w:hAnsi="Times New Roman" w:eastAsia="方正仿宋简体" w:cs="Times New Roman"/>
          <w:b/>
          <w:bCs/>
          <w:kern w:val="0"/>
          <w:sz w:val="32"/>
          <w:szCs w:val="32"/>
          <w:lang w:val="en-US" w:eastAsia="zh-CN" w:bidi="ar-SA"/>
        </w:rPr>
      </w:pPr>
      <w:bookmarkStart w:id="46" w:name="_Toc15377216"/>
      <w:r>
        <w:rPr>
          <w:rFonts w:hint="default" w:ascii="Times New Roman" w:hAnsi="Times New Roman" w:eastAsia="方正楷体简体" w:cs="Times New Roman"/>
          <w:b/>
          <w:bCs/>
          <w:kern w:val="0"/>
          <w:sz w:val="32"/>
          <w:szCs w:val="32"/>
          <w:lang w:val="en-US" w:eastAsia="zh-CN" w:bidi="ar-SA"/>
        </w:rPr>
        <w:t>（一）“三公”经费财政拨款支出决算总体情况说明</w:t>
      </w:r>
      <w:bookmarkEnd w:id="46"/>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2021年“三公”经费财政拨款支出决算为408.93万元，完成预算100%，决算数与预算数持平。</w:t>
      </w:r>
    </w:p>
    <w:p>
      <w:pPr>
        <w:pageBreakBefore w:val="0"/>
        <w:kinsoku/>
        <w:wordWrap/>
        <w:overflowPunct/>
        <w:topLinePunct w:val="0"/>
        <w:bidi w:val="0"/>
        <w:spacing w:line="578" w:lineRule="exact"/>
        <w:ind w:firstLine="640"/>
        <w:outlineLvl w:val="2"/>
        <w:rPr>
          <w:rFonts w:hint="default" w:ascii="Times New Roman" w:hAnsi="Times New Roman" w:eastAsia="方正楷体简体" w:cs="Times New Roman"/>
          <w:b/>
          <w:bCs/>
          <w:kern w:val="0"/>
          <w:sz w:val="32"/>
          <w:szCs w:val="32"/>
          <w:lang w:val="en-US" w:eastAsia="zh-CN" w:bidi="ar-SA"/>
        </w:rPr>
      </w:pPr>
      <w:bookmarkStart w:id="47" w:name="_Toc15377217"/>
      <w:r>
        <w:rPr>
          <w:rFonts w:hint="default" w:ascii="Times New Roman" w:hAnsi="Times New Roman" w:eastAsia="方正楷体简体" w:cs="Times New Roman"/>
          <w:b/>
          <w:bCs/>
          <w:kern w:val="0"/>
          <w:sz w:val="32"/>
          <w:szCs w:val="32"/>
          <w:lang w:val="en-US" w:eastAsia="zh-CN" w:bidi="ar-SA"/>
        </w:rPr>
        <w:t>（二）“三公”经费财政拨款支出决算具体情况说明</w:t>
      </w:r>
      <w:bookmarkEnd w:id="47"/>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2021年“三公”经费财政拨款支出决算中，因公出国（境）费支出决算0万元，占0%；公务用车购置及运行维护费支出决算361.83万元，占88.48%；公务接待费支出决算47.1万元，占11.52%。具体情况如下：</w:t>
      </w:r>
    </w:p>
    <w:p>
      <w:pPr>
        <w:keepNext w:val="0"/>
        <w:keepLines w:val="0"/>
        <w:pageBreakBefore w:val="0"/>
        <w:widowControl w:val="0"/>
        <w:kinsoku/>
        <w:wordWrap/>
        <w:overflowPunct/>
        <w:topLinePunct w:val="0"/>
        <w:autoSpaceDE/>
        <w:autoSpaceDN/>
        <w:bidi w:val="0"/>
        <w:adjustRightInd/>
        <w:spacing w:line="240" w:lineRule="auto"/>
        <w:ind w:firstLine="64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（图7：“三公”经费财政拨款支出结构）（饼状图）</w:t>
      </w:r>
    </w:p>
    <w:p>
      <w:pPr>
        <w:pStyle w:val="2"/>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drawing>
          <wp:inline distT="0" distB="0" distL="114300" distR="114300">
            <wp:extent cx="4077335" cy="2225040"/>
            <wp:effectExtent l="4445" t="4445" r="17780" b="1079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pacing w:line="240" w:lineRule="auto"/>
        <w:ind w:firstLine="64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1.因公出国（境）经费支出0万元，完成预算0%。全年安排因公出国（境）团组0次，出国（境）0人。因公出国（境）支出决算与2020年持平。</w:t>
      </w:r>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2.公务用车购置及运行维护费支出361.83万元,完成预算88.48%。公务用车购置及运行维护费支出决算比2020年588.74万元减少226.91万元，下降35.54%。主要原因是减少购置公务用车。</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其中：公务用车购置支出49.83万元。全年按规定更新购置公务用车2辆，其中：轿车0辆、金额0万元，越野车2辆、金额49.83万元，载客汽车0辆、金额0万元，主要用于保障应急用车。截至2021年12月底，单位共有公务用车67辆，其中：轿车47辆、越野车17辆、小型载客汽车2辆、大中型载客汽车1辆。</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公务用车运行维护费支出312万元。主要用于县级各部门日常工作开展所需的公务用车燃料费、维修费、过路过桥费、保险费等支出。</w:t>
      </w:r>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3.公务接待费支出47.1万元，完成预算100%。公务接待费支出决算比2020年50万元减少2.9万元，下降5.8%。主要原因是厉行节约，减少公务接待费用。其中：</w:t>
      </w:r>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国内公务接待支出47.1万元，主要用于执行公务、开展业务活动开支的交通费、住宿费、用餐费等。。国内公务接待89批次，4711人次，共计支出47.1万元。</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外事接待支出0万元，外事接待0批次，0人，共计支出0万元。</w:t>
      </w:r>
      <w:bookmarkStart w:id="48" w:name="_Toc15396610"/>
      <w:bookmarkStart w:id="49" w:name="_Toc15377218"/>
    </w:p>
    <w:p>
      <w:pPr>
        <w:pageBreakBefore w:val="0"/>
        <w:kinsoku/>
        <w:wordWrap/>
        <w:overflowPunct/>
        <w:topLinePunct w:val="0"/>
        <w:bidi w:val="0"/>
        <w:spacing w:line="578" w:lineRule="exact"/>
        <w:ind w:firstLine="640"/>
        <w:outlineLvl w:val="1"/>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八、政府性基金预算支出决算情况说明</w:t>
      </w:r>
      <w:bookmarkEnd w:id="48"/>
      <w:bookmarkEnd w:id="49"/>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2021年政府性基金预算财政拨款支出0万元。</w:t>
      </w:r>
    </w:p>
    <w:p>
      <w:pPr>
        <w:pageBreakBefore w:val="0"/>
        <w:numPr>
          <w:ilvl w:val="0"/>
          <w:numId w:val="0"/>
        </w:numPr>
        <w:kinsoku/>
        <w:wordWrap/>
        <w:overflowPunct/>
        <w:topLinePunct w:val="0"/>
        <w:bidi w:val="0"/>
        <w:spacing w:line="578" w:lineRule="exact"/>
        <w:ind w:firstLine="640" w:firstLineChars="200"/>
        <w:outlineLvl w:val="1"/>
        <w:rPr>
          <w:rFonts w:hint="default" w:ascii="Times New Roman" w:hAnsi="Times New Roman" w:eastAsia="方正仿宋简体" w:cs="Times New Roman"/>
          <w:b/>
          <w:bCs/>
          <w:kern w:val="0"/>
          <w:sz w:val="32"/>
          <w:szCs w:val="32"/>
          <w:lang w:val="en-US" w:eastAsia="zh-CN" w:bidi="ar-SA"/>
        </w:rPr>
      </w:pPr>
      <w:bookmarkStart w:id="50" w:name="_Toc15396611"/>
      <w:bookmarkStart w:id="51" w:name="_Toc15377219"/>
      <w:r>
        <w:rPr>
          <w:rFonts w:hint="default" w:ascii="Times New Roman" w:hAnsi="Times New Roman" w:eastAsia="方正黑体简体" w:cs="Times New Roman"/>
          <w:b/>
          <w:bCs/>
          <w:kern w:val="0"/>
          <w:sz w:val="32"/>
          <w:szCs w:val="32"/>
          <w:lang w:val="en-US" w:eastAsia="zh-CN" w:bidi="ar-SA"/>
        </w:rPr>
        <w:t>九、国有资本经营预算支出决算情况说明</w:t>
      </w:r>
      <w:bookmarkEnd w:id="50"/>
      <w:bookmarkEnd w:id="51"/>
    </w:p>
    <w:p>
      <w:pPr>
        <w:pageBreakBefore w:val="0"/>
        <w:kinsoku/>
        <w:wordWrap/>
        <w:overflowPunct/>
        <w:topLinePunct w:val="0"/>
        <w:bidi w:val="0"/>
        <w:spacing w:line="578" w:lineRule="exact"/>
        <w:ind w:firstLine="64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2021年国有资本经营预算财政拨款支出0万元。</w:t>
      </w:r>
    </w:p>
    <w:p>
      <w:pPr>
        <w:pageBreakBefore w:val="0"/>
        <w:numPr>
          <w:ilvl w:val="0"/>
          <w:numId w:val="0"/>
        </w:numPr>
        <w:kinsoku/>
        <w:wordWrap/>
        <w:overflowPunct/>
        <w:topLinePunct w:val="0"/>
        <w:bidi w:val="0"/>
        <w:spacing w:line="578" w:lineRule="exact"/>
        <w:ind w:firstLine="640" w:firstLineChars="200"/>
        <w:outlineLvl w:val="1"/>
        <w:rPr>
          <w:rFonts w:hint="default" w:ascii="Times New Roman" w:hAnsi="Times New Roman" w:eastAsia="方正黑体简体" w:cs="Times New Roman"/>
          <w:b/>
          <w:bCs/>
          <w:kern w:val="0"/>
          <w:sz w:val="32"/>
          <w:szCs w:val="32"/>
          <w:lang w:val="en-US" w:eastAsia="zh-CN" w:bidi="ar-SA"/>
        </w:rPr>
      </w:pPr>
      <w:bookmarkStart w:id="52" w:name="_Toc15396612"/>
      <w:bookmarkStart w:id="53" w:name="_Toc15377221"/>
      <w:r>
        <w:rPr>
          <w:rFonts w:hint="default" w:ascii="Times New Roman" w:hAnsi="Times New Roman" w:eastAsia="方正黑体简体" w:cs="Times New Roman"/>
          <w:b/>
          <w:bCs/>
          <w:kern w:val="0"/>
          <w:sz w:val="32"/>
          <w:szCs w:val="32"/>
          <w:lang w:val="en-US" w:eastAsia="zh-CN" w:bidi="ar-SA"/>
        </w:rPr>
        <w:t>十、</w:t>
      </w:r>
      <w:r>
        <w:rPr>
          <w:rFonts w:hint="default" w:ascii="Times New Roman" w:hAnsi="Times New Roman" w:eastAsia="方正黑体简体" w:cs="Times New Roman"/>
          <w:b/>
          <w:bCs/>
          <w:kern w:val="0"/>
          <w:sz w:val="32"/>
          <w:szCs w:val="32"/>
          <w:lang w:val="en-US" w:eastAsia="zh-CN" w:bidi="ar-SA"/>
        </w:rPr>
        <w:t>其他重要事项的情况说明</w:t>
      </w:r>
      <w:bookmarkEnd w:id="52"/>
      <w:bookmarkEnd w:id="53"/>
    </w:p>
    <w:p>
      <w:pPr>
        <w:pageBreakBefore w:val="0"/>
        <w:kinsoku/>
        <w:wordWrap/>
        <w:overflowPunct/>
        <w:topLinePunct w:val="0"/>
        <w:bidi w:val="0"/>
        <w:spacing w:line="578" w:lineRule="exact"/>
        <w:ind w:firstLine="643" w:firstLineChars="200"/>
        <w:outlineLvl w:val="2"/>
        <w:rPr>
          <w:rFonts w:hint="default" w:ascii="Times New Roman" w:hAnsi="Times New Roman" w:eastAsia="方正楷体简体" w:cs="Times New Roman"/>
          <w:b/>
          <w:bCs/>
          <w:kern w:val="0"/>
          <w:sz w:val="32"/>
          <w:szCs w:val="32"/>
          <w:lang w:val="en-US" w:eastAsia="zh-CN" w:bidi="ar-SA"/>
        </w:rPr>
      </w:pPr>
      <w:bookmarkStart w:id="54" w:name="_Toc15377222"/>
      <w:r>
        <w:rPr>
          <w:rFonts w:hint="default" w:ascii="Times New Roman" w:hAnsi="Times New Roman" w:eastAsia="方正楷体简体" w:cs="Times New Roman"/>
          <w:b/>
          <w:bCs/>
          <w:kern w:val="0"/>
          <w:sz w:val="32"/>
          <w:szCs w:val="32"/>
          <w:lang w:val="en-US" w:eastAsia="zh-CN" w:bidi="ar-SA"/>
        </w:rPr>
        <w:t>（一）机关运行经费支出情况</w:t>
      </w:r>
      <w:bookmarkEnd w:id="54"/>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2021年，泸县机关事务服务中心机关运行经费支出0万元，与2020年决算数持平。</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hint="default" w:ascii="Times New Roman" w:hAnsi="Times New Roman" w:eastAsia="方正楷体简体" w:cs="Times New Roman"/>
          <w:b/>
          <w:bCs/>
          <w:kern w:val="0"/>
          <w:sz w:val="32"/>
          <w:szCs w:val="32"/>
          <w:lang w:val="en-US" w:eastAsia="zh-CN" w:bidi="ar-SA"/>
        </w:rPr>
      </w:pPr>
      <w:bookmarkStart w:id="55" w:name="_Toc15377223"/>
      <w:r>
        <w:rPr>
          <w:rFonts w:hint="default" w:ascii="Times New Roman" w:hAnsi="Times New Roman" w:eastAsia="方正楷体简体" w:cs="Times New Roman"/>
          <w:b/>
          <w:bCs/>
          <w:kern w:val="0"/>
          <w:sz w:val="32"/>
          <w:szCs w:val="32"/>
          <w:lang w:val="en-US" w:eastAsia="zh-CN" w:bidi="ar-SA"/>
        </w:rPr>
        <w:t>（二）政府采购支出情况</w:t>
      </w:r>
      <w:bookmarkEnd w:id="55"/>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泸县机关事务服务中心政府采购支出总额27.21万元，其中：政府采购货物支出24.85万元、政府采购工程支出0万元、政府采购服务支出2.36万元。授予中小企业合同金额0万元，占政府采购支出总额的0%，其中：授予小微企业合同金额0万元，占政府采购支出总额的0%。</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hint="default" w:ascii="Times New Roman" w:hAnsi="Times New Roman" w:eastAsia="方正楷体简体" w:cs="Times New Roman"/>
          <w:b/>
          <w:bCs/>
          <w:kern w:val="0"/>
          <w:sz w:val="32"/>
          <w:szCs w:val="32"/>
          <w:lang w:val="en-US" w:eastAsia="zh-CN" w:bidi="ar-SA"/>
        </w:rPr>
      </w:pPr>
      <w:bookmarkStart w:id="56" w:name="_Toc15377224"/>
      <w:r>
        <w:rPr>
          <w:rFonts w:hint="default" w:ascii="Times New Roman" w:hAnsi="Times New Roman" w:eastAsia="方正楷体简体" w:cs="Times New Roman"/>
          <w:b/>
          <w:bCs/>
          <w:kern w:val="0"/>
          <w:sz w:val="32"/>
          <w:szCs w:val="32"/>
          <w:lang w:val="en-US" w:eastAsia="zh-CN" w:bidi="ar-SA"/>
        </w:rPr>
        <w:t>（三）国有资产占有使用情况</w:t>
      </w:r>
      <w:bookmarkEnd w:id="56"/>
    </w:p>
    <w:p>
      <w:pPr>
        <w:pageBreakBefore w:val="0"/>
        <w:kinsoku/>
        <w:wordWrap/>
        <w:overflowPunct/>
        <w:topLinePunct w:val="0"/>
        <w:autoSpaceDE w:val="0"/>
        <w:autoSpaceDN w:val="0"/>
        <w:bidi w:val="0"/>
        <w:adjustRightInd w:val="0"/>
        <w:spacing w:line="578" w:lineRule="exact"/>
        <w:ind w:firstLine="640" w:firstLineChars="200"/>
        <w:jc w:val="left"/>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截至2021年12月31日，泸县机关事务服务中心共有车辆67辆，其中：主要领导干部用车0辆、机要通信用车0辆、应急保障用车67辆、其他用车0辆。单价50万元以上通用设备2台（套），单价100万元以上专用设备0台（套）。</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hint="default" w:ascii="Times New Roman" w:hAnsi="Times New Roman" w:eastAsia="方正楷体简体" w:cs="Times New Roman"/>
          <w:b/>
          <w:bCs/>
          <w:kern w:val="0"/>
          <w:sz w:val="32"/>
          <w:szCs w:val="32"/>
          <w:lang w:val="en-US" w:eastAsia="zh-CN" w:bidi="ar-SA"/>
        </w:rPr>
      </w:pPr>
      <w:r>
        <w:rPr>
          <w:rFonts w:hint="default" w:ascii="Times New Roman" w:hAnsi="Times New Roman" w:eastAsia="方正楷体简体" w:cs="Times New Roman"/>
          <w:b/>
          <w:bCs/>
          <w:kern w:val="0"/>
          <w:sz w:val="32"/>
          <w:szCs w:val="32"/>
          <w:lang w:val="en-US" w:eastAsia="zh-CN" w:bidi="ar-SA"/>
        </w:rPr>
        <w:t>（四）预算绩效管理情况</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根据预算绩效管理要求，本部门在2021年度预算编制阶段，组织对公车运行维护专项、公务车购置项目、机关事务服务中心后勤保障项目等3个项目开展了预算事前绩效评估，对3个项目编制了绩效目标，预算执行过程中，选取3个项目开展绩效监控，年终执行完毕后，对3个项目开展了绩效自评。同时，本部门对2021年部门整体开展绩效自评，《2021年泸县机关事务服务中心部门整体绩效评价报告》见附件（第四部分）。</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center"/>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2.本部门在2021年度部门决算中反映公车运行维护专项、公务车购置项目、机关事务服务中心后勤保障项目3个项目绩效目标实际完成情况，项目绩效目标完成情况见附表（第四部分）。</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公车运行维护专项项目绩效目标完成情况综述。项目全年预算数312万元，执行数为312万元，完成预算的100%。通过项目实施，为保障泸县机关事务服务中心所有的67辆公务用车全年运行的燃油费、维修费、保险费、过路过桥费、停车费和其他相关支出费用。</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（2）公务车购置项目绩效目标完成情况综述。项目全年预算数49.83万元，执行数为49.83万元，完成预算的100%。通过项目实施，用于购置2辆应急用车经费。</w:t>
      </w:r>
    </w:p>
    <w:p>
      <w:pPr>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（3）机关事务服务中心后勤保障项目绩效目标完成情况综述。项目全年预算数241.22万元，执行数为241.22万元，完成预算的100%。通过项目实施，为保障泸县机关事务服务中心部门各项后勤项目。</w:t>
      </w:r>
    </w:p>
    <w:p>
      <w:pPr>
        <w:pageBreakBefore w:val="0"/>
        <w:widowControl/>
        <w:kinsoku/>
        <w:wordWrap/>
        <w:overflowPunct/>
        <w:topLinePunct w:val="0"/>
        <w:bidi w:val="0"/>
        <w:spacing w:line="578" w:lineRule="exact"/>
        <w:jc w:val="left"/>
        <w:rPr>
          <w:rFonts w:hint="default" w:ascii="Times New Roman" w:hAnsi="Times New Roman" w:eastAsia="方正仿宋简体" w:cs="Times New Roman"/>
          <w:b/>
          <w:bCs/>
          <w:kern w:val="0"/>
          <w:sz w:val="32"/>
          <w:szCs w:val="32"/>
          <w:lang w:val="en-US" w:eastAsia="zh-CN" w:bidi="ar-SA"/>
        </w:rPr>
      </w:pPr>
    </w:p>
    <w:p>
      <w:pPr>
        <w:pageBreakBefore w:val="0"/>
        <w:widowControl/>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
          <w:bCs w:val="0"/>
          <w:kern w:val="44"/>
          <w:sz w:val="44"/>
          <w:szCs w:val="44"/>
          <w:lang w:val="en-US" w:eastAsia="zh-CN" w:bidi="ar-SA"/>
        </w:rPr>
      </w:pPr>
      <w:bookmarkStart w:id="57" w:name="_Toc15377225"/>
      <w:bookmarkStart w:id="58" w:name="_Toc15396613"/>
      <w:r>
        <w:rPr>
          <w:rFonts w:hint="default" w:ascii="Times New Roman" w:hAnsi="Times New Roman" w:eastAsia="方正小标宋简体" w:cs="Times New Roman"/>
          <w:b/>
          <w:bCs w:val="0"/>
          <w:kern w:val="44"/>
          <w:sz w:val="44"/>
          <w:szCs w:val="44"/>
          <w:lang w:val="en-US" w:eastAsia="zh-CN" w:bidi="ar-SA"/>
        </w:rPr>
        <w:t xml:space="preserve">第三部分  </w:t>
      </w:r>
      <w:r>
        <w:rPr>
          <w:rFonts w:hint="default" w:ascii="Times New Roman" w:hAnsi="Times New Roman" w:eastAsia="方正小标宋简体" w:cs="Times New Roman"/>
          <w:b/>
          <w:bCs w:val="0"/>
          <w:kern w:val="44"/>
          <w:sz w:val="44"/>
          <w:szCs w:val="44"/>
          <w:lang w:val="en-US" w:eastAsia="zh-CN" w:bidi="ar-SA"/>
        </w:rPr>
        <w:t>名词解释</w:t>
      </w:r>
      <w:bookmarkEnd w:id="57"/>
      <w:bookmarkEnd w:id="58"/>
    </w:p>
    <w:p>
      <w:pPr>
        <w:pageBreakBefore w:val="0"/>
        <w:kinsoku/>
        <w:wordWrap/>
        <w:overflowPunct/>
        <w:topLinePunct w:val="0"/>
        <w:bidi w:val="0"/>
        <w:spacing w:line="578" w:lineRule="exact"/>
        <w:jc w:val="left"/>
        <w:rPr>
          <w:rFonts w:hint="default" w:ascii="Times New Roman" w:hAnsi="Times New Roman" w:eastAsia="方正仿宋简体" w:cs="Times New Roman"/>
          <w:b/>
          <w:bCs/>
          <w:kern w:val="0"/>
          <w:sz w:val="32"/>
          <w:szCs w:val="32"/>
          <w:lang w:val="en-US" w:eastAsia="zh-CN" w:bidi="ar-SA"/>
        </w:rPr>
      </w:pP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1.财政拨款收入：</w:t>
      </w:r>
      <w:r>
        <w:rPr>
          <w:rFonts w:hint="default" w:ascii="Times New Roman" w:hAnsi="Times New Roman" w:eastAsia="方正仿宋简体" w:cs="Times New Roman"/>
          <w:b/>
          <w:bCs/>
          <w:kern w:val="0"/>
          <w:sz w:val="32"/>
          <w:szCs w:val="32"/>
          <w:lang w:val="en-US" w:eastAsia="zh-CN" w:bidi="ar-SA"/>
        </w:rPr>
        <w:t>指单位从同级财政部门取得的财政预算资金。</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2.事业收入：</w:t>
      </w:r>
      <w:r>
        <w:rPr>
          <w:rFonts w:hint="default" w:ascii="Times New Roman" w:hAnsi="Times New Roman" w:eastAsia="方正仿宋简体" w:cs="Times New Roman"/>
          <w:b/>
          <w:bCs/>
          <w:kern w:val="0"/>
          <w:sz w:val="32"/>
          <w:szCs w:val="32"/>
          <w:lang w:val="en-US" w:eastAsia="zh-CN" w:bidi="ar-SA"/>
        </w:rPr>
        <w:t>指事业单位开展专业业务活动及辅助活动取得的收入。</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3.经营收入：</w:t>
      </w:r>
      <w:r>
        <w:rPr>
          <w:rFonts w:hint="default" w:ascii="Times New Roman" w:hAnsi="Times New Roman" w:eastAsia="方正仿宋简体" w:cs="Times New Roman"/>
          <w:b/>
          <w:bCs/>
          <w:kern w:val="0"/>
          <w:sz w:val="32"/>
          <w:szCs w:val="32"/>
          <w:lang w:val="en-US" w:eastAsia="zh-CN" w:bidi="ar-SA"/>
        </w:rPr>
        <w:t>指事业单位在专业业务活动及其辅助活动之外开展非独立核算经营活动取得的收入。</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4.其他收入：</w:t>
      </w:r>
      <w:r>
        <w:rPr>
          <w:rFonts w:hint="default" w:ascii="Times New Roman" w:hAnsi="Times New Roman" w:eastAsia="方正仿宋简体" w:cs="Times New Roman"/>
          <w:b/>
          <w:bCs/>
          <w:kern w:val="0"/>
          <w:sz w:val="32"/>
          <w:szCs w:val="32"/>
          <w:lang w:val="en-US" w:eastAsia="zh-CN" w:bidi="ar-SA"/>
        </w:rPr>
        <w:t xml:space="preserve">指单位取得的除上述收入以外的各项收入。 </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5.用事业基金弥补收支差额：</w:t>
      </w:r>
      <w:r>
        <w:rPr>
          <w:rFonts w:hint="default" w:ascii="Times New Roman" w:hAnsi="Times New Roman" w:eastAsia="方正仿宋简体" w:cs="Times New Roman"/>
          <w:b/>
          <w:bCs/>
          <w:kern w:val="0"/>
          <w:sz w:val="32"/>
          <w:szCs w:val="32"/>
          <w:lang w:val="en-US" w:eastAsia="zh-CN" w:bidi="ar-SA"/>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6.年初结转和结余：</w:t>
      </w:r>
      <w:r>
        <w:rPr>
          <w:rFonts w:hint="default" w:ascii="Times New Roman" w:hAnsi="Times New Roman" w:eastAsia="方正仿宋简体" w:cs="Times New Roman"/>
          <w:b/>
          <w:bCs/>
          <w:kern w:val="0"/>
          <w:sz w:val="32"/>
          <w:szCs w:val="32"/>
          <w:lang w:val="en-US" w:eastAsia="zh-CN" w:bidi="ar-SA"/>
        </w:rPr>
        <w:t xml:space="preserve">指以前年度尚未完成、结转到本年按有关规定继续使用的资金。 </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7.结余分配：</w:t>
      </w:r>
      <w:r>
        <w:rPr>
          <w:rFonts w:hint="default" w:ascii="Times New Roman" w:hAnsi="Times New Roman" w:eastAsia="方正仿宋简体" w:cs="Times New Roman"/>
          <w:b/>
          <w:bCs/>
          <w:kern w:val="0"/>
          <w:sz w:val="32"/>
          <w:szCs w:val="32"/>
          <w:lang w:val="en-US" w:eastAsia="zh-CN" w:bidi="ar-SA"/>
        </w:rPr>
        <w:t>指事业单位按照事业单位会计制度的规定从非财政补助结余中分配的事业基金和职工福利基金等。</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8.年末结转和结余：</w:t>
      </w:r>
      <w:r>
        <w:rPr>
          <w:rFonts w:hint="default" w:ascii="Times New Roman" w:hAnsi="Times New Roman" w:eastAsia="方正仿宋简体" w:cs="Times New Roman"/>
          <w:b/>
          <w:bCs/>
          <w:kern w:val="0"/>
          <w:sz w:val="32"/>
          <w:szCs w:val="32"/>
          <w:lang w:val="en-US" w:eastAsia="zh-CN" w:bidi="ar-SA"/>
        </w:rPr>
        <w:t>指单位按有关规定结转到下年或以后年度继续使用的资金。</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9.一般公共服务（类）党委办公厅（室）及相关机构事务（款）事业运行（项）：</w:t>
      </w:r>
      <w:r>
        <w:rPr>
          <w:rFonts w:hint="default" w:ascii="Times New Roman" w:hAnsi="Times New Roman" w:eastAsia="方正仿宋简体" w:cs="Times New Roman"/>
          <w:b/>
          <w:bCs/>
          <w:kern w:val="0"/>
          <w:sz w:val="32"/>
          <w:szCs w:val="32"/>
          <w:lang w:val="en-US" w:eastAsia="zh-CN" w:bidi="ar-SA"/>
        </w:rPr>
        <w:t>指事业单位的基本支出，不包括行政单位（包括实行公务员管理的事业单位）后勤服务中心、医务室等附属事业单位。</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10.社会保障和就业（类）行政事业单位离退休（款）机关事业单位基本养老保险缴费（项）：</w:t>
      </w:r>
      <w:r>
        <w:rPr>
          <w:rFonts w:hint="default" w:ascii="Times New Roman" w:hAnsi="Times New Roman" w:eastAsia="方正仿宋简体" w:cs="Times New Roman"/>
          <w:b/>
          <w:bCs/>
          <w:kern w:val="0"/>
          <w:sz w:val="32"/>
          <w:szCs w:val="32"/>
          <w:lang w:val="en-US" w:eastAsia="zh-CN" w:bidi="ar-SA"/>
        </w:rPr>
        <w:t>指机关事业单位实施养老保险制度由单位缴纳的基本养老保险费支出。</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11.卫生健康（类）行政事业单位医疗（款）事业单位医疗（项）：</w:t>
      </w:r>
      <w:r>
        <w:rPr>
          <w:rFonts w:hint="default" w:ascii="Times New Roman" w:hAnsi="Times New Roman" w:eastAsia="方正仿宋简体" w:cs="Times New Roman"/>
          <w:b/>
          <w:bCs/>
          <w:kern w:val="0"/>
          <w:sz w:val="32"/>
          <w:szCs w:val="32"/>
          <w:lang w:val="en-US" w:eastAsia="zh-CN" w:bidi="ar-SA"/>
        </w:rPr>
        <w:t>反映财政部门安排的事业单位基本医疗保险缴费经费，未参加医疗保险的事业单位的公费医疗经费，按国家夫定享受离休人员待遇的医疗经费。</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12.住房保障（类）住房改革支出（款）住房公积金（项）：</w:t>
      </w:r>
      <w:r>
        <w:rPr>
          <w:rFonts w:hint="default" w:ascii="Times New Roman" w:hAnsi="Times New Roman" w:eastAsia="方正仿宋简体" w:cs="Times New Roman"/>
          <w:b/>
          <w:bCs/>
          <w:kern w:val="0"/>
          <w:sz w:val="32"/>
          <w:szCs w:val="32"/>
          <w:lang w:val="en-US" w:eastAsia="zh-CN" w:bidi="ar-SA"/>
        </w:rPr>
        <w:t>指行政事业单位按人力资源和社会保障部、财政部规定的基本工资和津贴补贴以及规定比例为职工缴纳的住房公积金。</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13.基本支出：</w:t>
      </w:r>
      <w:r>
        <w:rPr>
          <w:rFonts w:hint="default" w:ascii="Times New Roman" w:hAnsi="Times New Roman" w:eastAsia="方正仿宋简体" w:cs="Times New Roman"/>
          <w:b/>
          <w:bCs/>
          <w:kern w:val="0"/>
          <w:sz w:val="32"/>
          <w:szCs w:val="32"/>
          <w:lang w:val="en-US" w:eastAsia="zh-CN" w:bidi="ar-SA"/>
        </w:rPr>
        <w:t>指为保障机构正常运转、完成日常工作任务而发生的人员支出和公用支出。</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14.项目支出：</w:t>
      </w:r>
      <w:r>
        <w:rPr>
          <w:rFonts w:hint="default" w:ascii="Times New Roman" w:hAnsi="Times New Roman" w:eastAsia="方正仿宋简体" w:cs="Times New Roman"/>
          <w:b/>
          <w:bCs/>
          <w:kern w:val="0"/>
          <w:sz w:val="32"/>
          <w:szCs w:val="32"/>
          <w:lang w:val="en-US" w:eastAsia="zh-CN" w:bidi="ar-SA"/>
        </w:rPr>
        <w:t>指在基本支出之外为完成特定行政任务和事业发展目标所发生的支出。</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15.经营支出：</w:t>
      </w:r>
      <w:r>
        <w:rPr>
          <w:rFonts w:hint="default" w:ascii="Times New Roman" w:hAnsi="Times New Roman" w:eastAsia="方正仿宋简体" w:cs="Times New Roman"/>
          <w:b/>
          <w:bCs/>
          <w:kern w:val="0"/>
          <w:sz w:val="32"/>
          <w:szCs w:val="32"/>
          <w:lang w:val="en-US" w:eastAsia="zh-CN" w:bidi="ar-SA"/>
        </w:rPr>
        <w:t>指事业单位在专业业务活动及其辅助活动之外开展非独立核算经营活动发生的支出。</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16.“三公”经费：</w:t>
      </w:r>
      <w:r>
        <w:rPr>
          <w:rFonts w:hint="default" w:ascii="Times New Roman" w:hAnsi="Times New Roman" w:eastAsia="方正仿宋简体" w:cs="Times New Roman"/>
          <w:b/>
          <w:bCs/>
          <w:kern w:val="0"/>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78" w:lineRule="exact"/>
        <w:ind w:firstLine="640"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17.机关运行经费：</w:t>
      </w:r>
      <w:r>
        <w:rPr>
          <w:rFonts w:hint="default" w:ascii="Times New Roman" w:hAnsi="Times New Roman" w:eastAsia="方正仿宋简体" w:cs="Times New Roman"/>
          <w:b/>
          <w:bCs/>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8" w:lineRule="exact"/>
        <w:jc w:val="both"/>
        <w:outlineLvl w:val="0"/>
        <w:rPr>
          <w:rFonts w:hint="default" w:ascii="Times New Roman" w:hAnsi="Times New Roman" w:eastAsia="方正仿宋简体" w:cs="Times New Roman"/>
          <w:b/>
          <w:bCs/>
          <w:kern w:val="0"/>
          <w:sz w:val="32"/>
          <w:szCs w:val="32"/>
          <w:lang w:val="en-US" w:eastAsia="zh-CN" w:bidi="ar-SA"/>
        </w:rPr>
      </w:pPr>
      <w:bookmarkStart w:id="59" w:name="_Toc15396614"/>
      <w:bookmarkStart w:id="60" w:name="_Toc15377226"/>
    </w:p>
    <w:p>
      <w:pPr>
        <w:pageBreakBefore w:val="0"/>
        <w:widowControl/>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
          <w:bCs w:val="0"/>
          <w:kern w:val="44"/>
          <w:sz w:val="44"/>
          <w:szCs w:val="44"/>
          <w:lang w:val="en-US" w:eastAsia="zh-CN" w:bidi="ar-SA"/>
        </w:rPr>
      </w:pPr>
      <w:r>
        <w:rPr>
          <w:rFonts w:hint="default" w:ascii="Times New Roman" w:hAnsi="Times New Roman" w:eastAsia="方正小标宋简体" w:cs="Times New Roman"/>
          <w:b/>
          <w:bCs w:val="0"/>
          <w:kern w:val="44"/>
          <w:sz w:val="44"/>
          <w:szCs w:val="44"/>
          <w:lang w:val="en-US" w:eastAsia="zh-CN" w:bidi="ar-SA"/>
        </w:rPr>
        <w:t>第四部分 附件</w:t>
      </w:r>
      <w:bookmarkEnd w:id="59"/>
    </w:p>
    <w:p>
      <w:pPr>
        <w:pageBreakBefore w:val="0"/>
        <w:kinsoku/>
        <w:wordWrap/>
        <w:overflowPunct/>
        <w:topLinePunct w:val="0"/>
        <w:bidi w:val="0"/>
        <w:spacing w:line="578" w:lineRule="exact"/>
        <w:jc w:val="left"/>
        <w:outlineLvl w:val="0"/>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jc w:val="left"/>
        <w:outlineLvl w:val="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附件1</w:t>
      </w:r>
    </w:p>
    <w:p>
      <w:pPr>
        <w:pageBreakBefore w:val="0"/>
        <w:kinsoku/>
        <w:wordWrap/>
        <w:overflowPunct/>
        <w:topLinePunct w:val="0"/>
        <w:bidi w:val="0"/>
        <w:spacing w:line="578" w:lineRule="exact"/>
        <w:jc w:val="center"/>
        <w:rPr>
          <w:rFonts w:hint="default" w:ascii="Times New Roman" w:hAnsi="Times New Roman" w:eastAsia="方正仿宋简体" w:cs="Times New Roman"/>
          <w:b/>
          <w:bCs/>
          <w:kern w:val="0"/>
          <w:sz w:val="32"/>
          <w:szCs w:val="32"/>
          <w:lang w:val="en-US" w:eastAsia="zh-CN" w:bidi="ar-SA"/>
        </w:rPr>
      </w:pPr>
    </w:p>
    <w:p>
      <w:pPr>
        <w:pageBreakBefore w:val="0"/>
        <w:widowControl/>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
          <w:bCs w:val="0"/>
          <w:kern w:val="44"/>
          <w:sz w:val="44"/>
          <w:szCs w:val="44"/>
          <w:lang w:val="zh-CN" w:eastAsia="zh-CN" w:bidi="ar-SA"/>
        </w:rPr>
      </w:pPr>
      <w:r>
        <w:rPr>
          <w:rFonts w:hint="default" w:ascii="Times New Roman" w:hAnsi="Times New Roman" w:eastAsia="方正小标宋简体" w:cs="Times New Roman"/>
          <w:b/>
          <w:bCs w:val="0"/>
          <w:kern w:val="44"/>
          <w:sz w:val="44"/>
          <w:szCs w:val="44"/>
          <w:lang w:val="en-US" w:eastAsia="zh-CN" w:bidi="ar-SA"/>
        </w:rPr>
        <w:t>2021年泸县机关事务服务中心部门整体绩效评价报告</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en-US" w:eastAsia="zh-CN" w:bidi="ar-SA"/>
        </w:rPr>
      </w:pP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黑体简体" w:cs="Times New Roman"/>
          <w:b/>
          <w:bCs/>
          <w:kern w:val="0"/>
          <w:sz w:val="32"/>
          <w:szCs w:val="32"/>
          <w:lang w:val="zh-CN" w:eastAsia="zh-CN" w:bidi="ar-SA"/>
        </w:rPr>
      </w:pPr>
      <w:r>
        <w:rPr>
          <w:rFonts w:hint="default" w:ascii="Times New Roman" w:hAnsi="Times New Roman" w:eastAsia="方正黑体简体" w:cs="Times New Roman"/>
          <w:b/>
          <w:bCs/>
          <w:kern w:val="0"/>
          <w:sz w:val="32"/>
          <w:szCs w:val="32"/>
          <w:lang w:val="en-US" w:eastAsia="zh-CN" w:bidi="ar-SA"/>
        </w:rPr>
        <w:t>一、</w:t>
      </w:r>
      <w:r>
        <w:rPr>
          <w:rFonts w:hint="default" w:ascii="Times New Roman" w:hAnsi="Times New Roman" w:eastAsia="方正黑体简体" w:cs="Times New Roman"/>
          <w:b/>
          <w:bCs/>
          <w:kern w:val="0"/>
          <w:sz w:val="32"/>
          <w:szCs w:val="32"/>
          <w:lang w:val="zh-CN" w:eastAsia="zh-CN" w:bidi="ar-SA"/>
        </w:rPr>
        <w:t>部门（单位）概况</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（一）机构组成。</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仿宋简体" w:cs="Times New Roman"/>
          <w:b/>
          <w:bCs/>
          <w:kern w:val="0"/>
          <w:sz w:val="32"/>
          <w:szCs w:val="32"/>
          <w:lang w:val="zh-CN" w:eastAsia="zh-CN" w:bidi="ar-SA"/>
        </w:rPr>
        <w:t>泸县机关事务服务中心是财政全额拨款的正科级事业单位，是一级部门预算单位</w:t>
      </w:r>
      <w:r>
        <w:rPr>
          <w:rFonts w:hint="default" w:ascii="Times New Roman" w:hAnsi="Times New Roman" w:eastAsia="方正仿宋简体" w:cs="Times New Roman"/>
          <w:b/>
          <w:bCs/>
          <w:kern w:val="0"/>
          <w:sz w:val="32"/>
          <w:szCs w:val="32"/>
          <w:lang w:val="en-US" w:eastAsia="zh-CN" w:bidi="ar-SA"/>
        </w:rPr>
        <w:t>。</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en-US" w:eastAsia="zh-CN" w:bidi="ar-SA"/>
        </w:rPr>
        <w:t>二</w:t>
      </w: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zh-CN" w:eastAsia="zh-CN" w:bidi="ar-SA"/>
        </w:rPr>
        <w:t>机构职能。</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仿宋简体" w:cs="Times New Roman"/>
          <w:b/>
          <w:bCs/>
          <w:kern w:val="0"/>
          <w:sz w:val="32"/>
          <w:szCs w:val="32"/>
          <w:lang w:val="zh-CN" w:eastAsia="zh-CN" w:bidi="ar-SA"/>
        </w:rPr>
        <w:t>泸县机关事务服务中心负责县委、县政府对外接待工作。参与协调县委、县政府领导外联活动，为重要政务和商务活动提供接待服务；负责县级机关事业单位节能管理工作；负责公车管理工作；指导县级各部门、各镇（街道）机关事务工作。</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en-US" w:eastAsia="zh-CN" w:bidi="ar-SA"/>
        </w:rPr>
        <w:t>三</w:t>
      </w: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zh-CN" w:eastAsia="zh-CN" w:bidi="ar-SA"/>
        </w:rPr>
        <w:t>人员概况。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泸县机关事务服务中心核定事业编制15名。在职人数11人，其中事业人员11人。</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二、部门财政资金收支情况</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（一）部门财政资金收入情况。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仿宋简体" w:cs="Times New Roman"/>
          <w:b/>
          <w:bCs/>
          <w:kern w:val="0"/>
          <w:sz w:val="32"/>
          <w:szCs w:val="32"/>
          <w:lang w:val="en-US" w:eastAsia="zh-CN" w:bidi="ar-SA"/>
        </w:rPr>
        <w:t>2021年年初预算数收入535.65万元，</w:t>
      </w:r>
      <w:r>
        <w:rPr>
          <w:rFonts w:hint="default" w:ascii="Times New Roman" w:hAnsi="Times New Roman" w:eastAsia="方正仿宋简体" w:cs="Times New Roman"/>
          <w:b/>
          <w:bCs/>
          <w:kern w:val="0"/>
          <w:sz w:val="32"/>
          <w:szCs w:val="32"/>
          <w:lang w:val="zh-CN" w:eastAsia="zh-CN" w:bidi="ar-SA"/>
        </w:rPr>
        <w:t>主要分为基本支出</w:t>
      </w:r>
      <w:r>
        <w:rPr>
          <w:rFonts w:hint="default" w:ascii="Times New Roman" w:hAnsi="Times New Roman" w:eastAsia="方正仿宋简体" w:cs="Times New Roman"/>
          <w:b/>
          <w:bCs/>
          <w:kern w:val="0"/>
          <w:sz w:val="32"/>
          <w:szCs w:val="32"/>
          <w:lang w:val="en-US" w:eastAsia="zh-CN" w:bidi="ar-SA"/>
        </w:rPr>
        <w:t>150.65</w:t>
      </w:r>
      <w:r>
        <w:rPr>
          <w:rFonts w:hint="default" w:ascii="Times New Roman" w:hAnsi="Times New Roman" w:eastAsia="方正仿宋简体" w:cs="Times New Roman"/>
          <w:b/>
          <w:bCs/>
          <w:kern w:val="0"/>
          <w:sz w:val="32"/>
          <w:szCs w:val="32"/>
          <w:lang w:val="zh-CN" w:eastAsia="zh-CN" w:bidi="ar-SA"/>
        </w:rPr>
        <w:t>万元（包括人员经费</w:t>
      </w:r>
      <w:r>
        <w:rPr>
          <w:rFonts w:hint="default" w:ascii="Times New Roman" w:hAnsi="Times New Roman" w:eastAsia="方正仿宋简体" w:cs="Times New Roman"/>
          <w:b/>
          <w:bCs/>
          <w:kern w:val="0"/>
          <w:sz w:val="32"/>
          <w:szCs w:val="32"/>
          <w:lang w:val="en-US" w:eastAsia="zh-CN" w:bidi="ar-SA"/>
        </w:rPr>
        <w:t>91.55</w:t>
      </w:r>
      <w:r>
        <w:rPr>
          <w:rFonts w:hint="default" w:ascii="Times New Roman" w:hAnsi="Times New Roman" w:eastAsia="方正仿宋简体" w:cs="Times New Roman"/>
          <w:b/>
          <w:bCs/>
          <w:kern w:val="0"/>
          <w:sz w:val="32"/>
          <w:szCs w:val="32"/>
          <w:lang w:val="zh-CN" w:eastAsia="zh-CN" w:bidi="ar-SA"/>
        </w:rPr>
        <w:t>万元、日常公用经费</w:t>
      </w:r>
      <w:r>
        <w:rPr>
          <w:rFonts w:hint="default" w:ascii="Times New Roman" w:hAnsi="Times New Roman" w:eastAsia="方正仿宋简体" w:cs="Times New Roman"/>
          <w:b/>
          <w:bCs/>
          <w:kern w:val="0"/>
          <w:sz w:val="32"/>
          <w:szCs w:val="32"/>
          <w:lang w:val="en-US" w:eastAsia="zh-CN" w:bidi="ar-SA"/>
        </w:rPr>
        <w:t>59.10</w:t>
      </w:r>
      <w:r>
        <w:rPr>
          <w:rFonts w:hint="default" w:ascii="Times New Roman" w:hAnsi="Times New Roman" w:eastAsia="方正仿宋简体" w:cs="Times New Roman"/>
          <w:b/>
          <w:bCs/>
          <w:kern w:val="0"/>
          <w:sz w:val="32"/>
          <w:szCs w:val="32"/>
          <w:lang w:val="zh-CN" w:eastAsia="zh-CN" w:bidi="ar-SA"/>
        </w:rPr>
        <w:t>万元）和项目支出</w:t>
      </w:r>
      <w:r>
        <w:rPr>
          <w:rFonts w:hint="default" w:ascii="Times New Roman" w:hAnsi="Times New Roman" w:eastAsia="方正仿宋简体" w:cs="Times New Roman"/>
          <w:b/>
          <w:bCs/>
          <w:kern w:val="0"/>
          <w:sz w:val="32"/>
          <w:szCs w:val="32"/>
          <w:lang w:val="en-US" w:eastAsia="zh-CN" w:bidi="ar-SA"/>
        </w:rPr>
        <w:t>385</w:t>
      </w:r>
      <w:r>
        <w:rPr>
          <w:rFonts w:hint="default" w:ascii="Times New Roman" w:hAnsi="Times New Roman" w:eastAsia="方正仿宋简体" w:cs="Times New Roman"/>
          <w:b/>
          <w:bCs/>
          <w:kern w:val="0"/>
          <w:sz w:val="32"/>
          <w:szCs w:val="32"/>
          <w:lang w:val="zh-CN" w:eastAsia="zh-CN" w:bidi="ar-SA"/>
        </w:rPr>
        <w:t>万元两类；202</w:t>
      </w:r>
      <w:r>
        <w:rPr>
          <w:rFonts w:hint="default" w:ascii="Times New Roman" w:hAnsi="Times New Roman" w:eastAsia="方正仿宋简体" w:cs="Times New Roman"/>
          <w:b/>
          <w:bCs/>
          <w:kern w:val="0"/>
          <w:sz w:val="32"/>
          <w:szCs w:val="32"/>
          <w:lang w:val="en-US" w:eastAsia="zh-CN" w:bidi="ar-SA"/>
        </w:rPr>
        <w:t>1</w:t>
      </w:r>
      <w:r>
        <w:rPr>
          <w:rFonts w:hint="default" w:ascii="Times New Roman" w:hAnsi="Times New Roman" w:eastAsia="方正仿宋简体" w:cs="Times New Roman"/>
          <w:b/>
          <w:bCs/>
          <w:kern w:val="0"/>
          <w:sz w:val="32"/>
          <w:szCs w:val="32"/>
          <w:lang w:val="zh-CN" w:eastAsia="zh-CN" w:bidi="ar-SA"/>
        </w:rPr>
        <w:t>年年底决算财政拨款收入</w:t>
      </w:r>
      <w:r>
        <w:rPr>
          <w:rFonts w:hint="default" w:ascii="Times New Roman" w:hAnsi="Times New Roman" w:eastAsia="方正仿宋简体" w:cs="Times New Roman"/>
          <w:b/>
          <w:bCs/>
          <w:kern w:val="0"/>
          <w:sz w:val="32"/>
          <w:szCs w:val="32"/>
          <w:lang w:val="en-US" w:eastAsia="zh-CN" w:bidi="ar-SA"/>
        </w:rPr>
        <w:t>812.65</w:t>
      </w:r>
      <w:r>
        <w:rPr>
          <w:rFonts w:hint="default" w:ascii="Times New Roman" w:hAnsi="Times New Roman" w:eastAsia="方正仿宋简体" w:cs="Times New Roman"/>
          <w:b/>
          <w:bCs/>
          <w:kern w:val="0"/>
          <w:sz w:val="32"/>
          <w:szCs w:val="32"/>
          <w:lang w:val="zh-CN" w:eastAsia="zh-CN" w:bidi="ar-SA"/>
        </w:rPr>
        <w:t>万元。其中：一般公共预算财政拨款收入</w:t>
      </w:r>
      <w:r>
        <w:rPr>
          <w:rFonts w:hint="default" w:ascii="Times New Roman" w:hAnsi="Times New Roman" w:eastAsia="方正仿宋简体" w:cs="Times New Roman"/>
          <w:b/>
          <w:bCs/>
          <w:kern w:val="0"/>
          <w:sz w:val="32"/>
          <w:szCs w:val="32"/>
          <w:lang w:val="en-US" w:eastAsia="zh-CN" w:bidi="ar-SA"/>
        </w:rPr>
        <w:t>630.05</w:t>
      </w:r>
      <w:r>
        <w:rPr>
          <w:rFonts w:hint="default" w:ascii="Times New Roman" w:hAnsi="Times New Roman" w:eastAsia="方正仿宋简体" w:cs="Times New Roman"/>
          <w:b/>
          <w:bCs/>
          <w:kern w:val="0"/>
          <w:sz w:val="32"/>
          <w:szCs w:val="32"/>
          <w:lang w:val="zh-CN" w:eastAsia="zh-CN" w:bidi="ar-SA"/>
        </w:rPr>
        <w:t>万元,</w:t>
      </w:r>
      <w:r>
        <w:rPr>
          <w:rFonts w:hint="default" w:ascii="Times New Roman" w:hAnsi="Times New Roman" w:eastAsia="方正仿宋简体" w:cs="Times New Roman"/>
          <w:b/>
          <w:bCs/>
          <w:kern w:val="0"/>
          <w:sz w:val="32"/>
          <w:szCs w:val="32"/>
          <w:lang w:val="en-US" w:eastAsia="zh-CN" w:bidi="ar-SA"/>
        </w:rPr>
        <w:t xml:space="preserve"> 年初结转和结余182.6万元</w:t>
      </w:r>
      <w:r>
        <w:rPr>
          <w:rFonts w:hint="default" w:ascii="Times New Roman" w:hAnsi="Times New Roman" w:eastAsia="方正仿宋简体" w:cs="Times New Roman"/>
          <w:b/>
          <w:bCs/>
          <w:kern w:val="0"/>
          <w:sz w:val="32"/>
          <w:szCs w:val="32"/>
          <w:lang w:val="zh-CN" w:eastAsia="zh-CN" w:bidi="ar-SA"/>
        </w:rPr>
        <w:t>。</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en-US" w:eastAsia="zh-CN" w:bidi="ar-SA"/>
        </w:rPr>
        <w:t>二</w:t>
      </w: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zh-CN" w:eastAsia="zh-CN" w:bidi="ar-SA"/>
        </w:rPr>
        <w:t>部门财政资金支出情况。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2021年全年支出812.65万元，其中：基本支出209.60万元（人员经费支出151.48万元、日常公用经费支出58.12万元），项目支出603.05万元，2021年年终结转项目资金0万元。</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三、部门整体预算绩效管理情况</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（一）部门预算项目绩效管理。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本单位严格按照预算管理的相关规定和县级部门预算编制要求按照绩效目标管理的相关性、明确性、合理性，科学编制2021年预算工作。部门自评工作开展情况：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1．前期准备：借鉴市上或者其他兄弟区县优良的、先进的管理经验和做法。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2．组织实施：加强领导，明确责任；精心组织，扎实推进。</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 xml:space="preserve">3．分析评价：通过合理有效配置公务用车资源，大幅度降低公务交通成本、提高行政工作效率、促进党风廉政建设。      </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en-US" w:eastAsia="zh-CN" w:bidi="ar-SA"/>
        </w:rPr>
        <w:t>（二）</w:t>
      </w:r>
      <w:r>
        <w:rPr>
          <w:rFonts w:hint="default" w:ascii="Times New Roman" w:hAnsi="Times New Roman" w:eastAsia="方正楷体简体" w:cs="Times New Roman"/>
          <w:b/>
          <w:bCs/>
          <w:kern w:val="0"/>
          <w:sz w:val="32"/>
          <w:szCs w:val="32"/>
          <w:lang w:val="zh-CN" w:eastAsia="zh-CN" w:bidi="ar-SA"/>
        </w:rPr>
        <w:t>结果应用情况。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保证全县重点工作用车的基础上，以轮派方式派车统筹安排保障各单位用车，用车单位满意率在90%以上；严格按照规定使用公务用车，杜绝公车私用、私车公养及公务用车使用中的奢侈浪费现象，节能减排优化环境。</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2．部门绩效管理工作促进了党风廉政建设和节约型机关建设。</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四、评价结论及建议</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（一）评价结论。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仿宋简体" w:cs="Times New Roman"/>
          <w:b/>
          <w:bCs/>
          <w:kern w:val="0"/>
          <w:sz w:val="32"/>
          <w:szCs w:val="32"/>
          <w:lang w:val="en-US" w:eastAsia="zh-CN" w:bidi="ar-SA"/>
        </w:rPr>
        <w:t>我单位在资金预算编制、预算执行、综合管理、整体绩效四个方面，均按照国家政策法规规定，结合本单位实际情况及相关规定严格执行，完成了部门职能职责，实现了较高的工作效率和支出绩效。通过开展绩效评价工作，让财政资金在阳光下更好地发挥作用。通过绩效评价现有费用的合理性，为本部门事业单位的预算编制提供充分的依据。总体评价为良。</w:t>
      </w:r>
    </w:p>
    <w:p>
      <w:pPr>
        <w:pageBreakBefore w:val="0"/>
        <w:widowControl/>
        <w:numPr>
          <w:ilvl w:val="0"/>
          <w:numId w:val="0"/>
        </w:numPr>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楷体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w:t>
      </w:r>
      <w:r>
        <w:rPr>
          <w:rFonts w:hint="default" w:ascii="Times New Roman" w:hAnsi="Times New Roman" w:eastAsia="方正楷体简体" w:cs="Times New Roman"/>
          <w:b/>
          <w:bCs/>
          <w:kern w:val="0"/>
          <w:sz w:val="32"/>
          <w:szCs w:val="32"/>
          <w:lang w:val="en-US" w:eastAsia="zh-CN" w:bidi="ar-SA"/>
        </w:rPr>
        <w:t>二</w:t>
      </w:r>
      <w:r>
        <w:rPr>
          <w:rFonts w:hint="default" w:ascii="Times New Roman" w:hAnsi="Times New Roman" w:eastAsia="方正楷体简体" w:cs="Times New Roman"/>
          <w:b/>
          <w:bCs/>
          <w:kern w:val="0"/>
          <w:sz w:val="32"/>
          <w:szCs w:val="32"/>
          <w:lang w:val="zh-CN" w:eastAsia="zh-CN" w:bidi="ar-SA"/>
        </w:rPr>
        <w:t>）存在问题。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1．预算编制有待更严格执行，预算编制与实际支出项目有的仍存在细微差异。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2．固定资产管理有待加强，进入公车管理平台车辆应及时入账统一管理。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仿宋简体" w:cs="Times New Roman"/>
          <w:b/>
          <w:bCs/>
          <w:kern w:val="0"/>
          <w:sz w:val="32"/>
          <w:szCs w:val="32"/>
          <w:lang w:val="en-US" w:eastAsia="zh-CN" w:bidi="ar-SA"/>
        </w:rPr>
        <w:t>3．在资金的使用效益上有待进一步提高。</w:t>
      </w:r>
    </w:p>
    <w:p>
      <w:pPr>
        <w:pageBreakBefore w:val="0"/>
        <w:widowControl/>
        <w:kinsoku/>
        <w:wordWrap/>
        <w:overflowPunct/>
        <w:topLinePunct w:val="0"/>
        <w:bidi w:val="0"/>
        <w:adjustRightInd w:val="0"/>
        <w:snapToGrid w:val="0"/>
        <w:spacing w:line="578" w:lineRule="exact"/>
        <w:ind w:firstLine="643" w:firstLineChars="200"/>
        <w:contextualSpacing/>
        <w:jc w:val="left"/>
        <w:rPr>
          <w:rFonts w:hint="default" w:ascii="Times New Roman" w:hAnsi="Times New Roman" w:eastAsia="方正仿宋简体" w:cs="Times New Roman"/>
          <w:b/>
          <w:bCs/>
          <w:kern w:val="0"/>
          <w:sz w:val="32"/>
          <w:szCs w:val="32"/>
          <w:lang w:val="zh-CN" w:eastAsia="zh-CN" w:bidi="ar-SA"/>
        </w:rPr>
      </w:pPr>
      <w:r>
        <w:rPr>
          <w:rFonts w:hint="default" w:ascii="Times New Roman" w:hAnsi="Times New Roman" w:eastAsia="方正楷体简体" w:cs="Times New Roman"/>
          <w:b/>
          <w:bCs/>
          <w:kern w:val="0"/>
          <w:sz w:val="32"/>
          <w:szCs w:val="32"/>
          <w:lang w:val="zh-CN" w:eastAsia="zh-CN" w:bidi="ar-SA"/>
        </w:rPr>
        <w:t>（三）改进建议。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1．请县财政根据泸县机关事务服务中心发展的要求和实际情况，核准年初部门预算额度，将常规项目支出纳入年度预算。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2．加强固定资产管理，提升资产管理水平。</w:t>
      </w:r>
    </w:p>
    <w:p>
      <w:pPr>
        <w:pStyle w:val="7"/>
        <w:keepNext w:val="0"/>
        <w:keepLines w:val="0"/>
        <w:pageBreakBefore w:val="0"/>
        <w:widowControl w:val="0"/>
        <w:kinsoku/>
        <w:wordWrap/>
        <w:overflowPunct/>
        <w:topLinePunct w:val="0"/>
        <w:autoSpaceDE/>
        <w:autoSpaceDN/>
        <w:bidi w:val="0"/>
        <w:adjustRightInd/>
        <w:snapToGrid/>
        <w:spacing w:before="93" w:line="578" w:lineRule="exact"/>
        <w:ind w:firstLine="640"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3．有关追加的项目资金请及时拨付到位。</w:t>
      </w:r>
    </w:p>
    <w:p>
      <w:pPr>
        <w:pStyle w:val="7"/>
        <w:keepNext w:val="0"/>
        <w:keepLines w:val="0"/>
        <w:pageBreakBefore w:val="0"/>
        <w:kinsoku/>
        <w:wordWrap/>
        <w:overflowPunct/>
        <w:topLinePunct w:val="0"/>
        <w:autoSpaceDE/>
        <w:autoSpaceDN/>
        <w:bidi w:val="0"/>
        <w:adjustRightInd/>
        <w:snapToGrid/>
        <w:spacing w:before="93" w:line="578" w:lineRule="exact"/>
        <w:rPr>
          <w:rFonts w:hint="default" w:ascii="Times New Roman" w:hAnsi="Times New Roman" w:eastAsia="方正仿宋简体" w:cs="Times New Roman"/>
          <w:b/>
          <w:bCs/>
          <w:kern w:val="0"/>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before="93" w:line="578" w:lineRule="exact"/>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32"/>
          <w:szCs w:val="32"/>
          <w:lang w:val="en-US" w:eastAsia="zh-CN" w:bidi="ar-SA"/>
        </w:rPr>
        <w:t>附表</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18"/>
        <w:gridCol w:w="939"/>
        <w:gridCol w:w="1025"/>
        <w:gridCol w:w="2492"/>
        <w:gridCol w:w="2431"/>
        <w:gridCol w:w="2255"/>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项目绩效目标完成情况表</w:t>
            </w:r>
          </w:p>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公车运行维护专项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w:t>
            </w:r>
          </w:p>
        </w:tc>
      </w:tr>
      <w:tr>
        <w:tblPrEx>
          <w:tblCellMar>
            <w:top w:w="0" w:type="dxa"/>
            <w:left w:w="0" w:type="dxa"/>
            <w:bottom w:w="0" w:type="dxa"/>
            <w:right w:w="0" w:type="dxa"/>
          </w:tblCellMar>
        </w:tblPrEx>
        <w:trPr>
          <w:trHeight w:val="276"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预算执行情况(万元)</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预算数:</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312万元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执行数: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312万元</w:t>
            </w:r>
          </w:p>
        </w:tc>
      </w:tr>
      <w:tr>
        <w:tblPrEx>
          <w:tblCellMar>
            <w:top w:w="0" w:type="dxa"/>
            <w:left w:w="0" w:type="dxa"/>
            <w:bottom w:w="0" w:type="dxa"/>
            <w:right w:w="0" w:type="dxa"/>
          </w:tblCellMar>
        </w:tblPrEx>
        <w:trPr>
          <w:trHeight w:val="27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1"/>
                <w:szCs w:val="21"/>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其中-财政拨款:</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312万元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312万元</w:t>
            </w:r>
          </w:p>
        </w:tc>
      </w:tr>
      <w:tr>
        <w:tblPrEx>
          <w:tblCellMar>
            <w:top w:w="0" w:type="dxa"/>
            <w:left w:w="0" w:type="dxa"/>
            <w:bottom w:w="0" w:type="dxa"/>
            <w:right w:w="0" w:type="dxa"/>
          </w:tblCellMar>
        </w:tblPrEx>
        <w:trPr>
          <w:trHeight w:val="45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1"/>
                <w:szCs w:val="21"/>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其它资金:</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1"/>
                <w:szCs w:val="21"/>
                <w:lang w:val="en-US" w:eastAsia="zh-CN" w:bidi="ar-SA"/>
              </w:rPr>
            </w:pPr>
          </w:p>
        </w:tc>
      </w:tr>
      <w:tr>
        <w:tblPrEx>
          <w:tblCellMar>
            <w:top w:w="0" w:type="dxa"/>
            <w:left w:w="0" w:type="dxa"/>
            <w:bottom w:w="0" w:type="dxa"/>
            <w:right w:w="0" w:type="dxa"/>
          </w:tblCellMar>
        </w:tblPrEx>
        <w:trPr>
          <w:trHeight w:val="276"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年度目标完成情况</w:t>
            </w: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预期目标</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实际完成目标</w:t>
            </w:r>
          </w:p>
        </w:tc>
      </w:tr>
      <w:tr>
        <w:tblPrEx>
          <w:tblCellMar>
            <w:top w:w="0" w:type="dxa"/>
            <w:left w:w="0" w:type="dxa"/>
            <w:bottom w:w="0" w:type="dxa"/>
            <w:right w:w="0" w:type="dxa"/>
          </w:tblCellMar>
        </w:tblPrEx>
        <w:trPr>
          <w:trHeight w:val="1159"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1"/>
                <w:szCs w:val="21"/>
                <w:lang w:val="en-US" w:eastAsia="zh-CN" w:bidi="ar-SA"/>
              </w:rPr>
            </w:pP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为保障泸县机关事务服务中心所有的公务用车全年运行的燃油费、维修费、保险费、过路过桥费、停车费和其他相关支出费用。</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为保障泸县机关事务服务中心所有的公务用车全年运行的燃油费、维修费、保险费、过路过桥费、停车费和其他相关支出费用。</w:t>
            </w:r>
          </w:p>
        </w:tc>
      </w:tr>
      <w:tr>
        <w:tblPrEx>
          <w:tblCellMar>
            <w:top w:w="0" w:type="dxa"/>
            <w:left w:w="0" w:type="dxa"/>
            <w:bottom w:w="0" w:type="dxa"/>
            <w:right w:w="0" w:type="dxa"/>
          </w:tblCellMar>
        </w:tblPrEx>
        <w:trPr>
          <w:trHeight w:val="1042" w:hRule="atLeast"/>
          <w:jc w:val="center"/>
        </w:trPr>
        <w:tc>
          <w:tcPr>
            <w:tcW w:w="8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绩效指标完成情况</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二级指标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三级指标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预期指标值(包含数字及文字描述)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实际完成指标值(包含数字及文字描述)</w:t>
            </w:r>
          </w:p>
        </w:tc>
      </w:tr>
      <w:tr>
        <w:tblPrEx>
          <w:tblCellMar>
            <w:top w:w="0" w:type="dxa"/>
            <w:left w:w="0" w:type="dxa"/>
            <w:bottom w:w="0" w:type="dxa"/>
            <w:right w:w="0" w:type="dxa"/>
          </w:tblCellMar>
        </w:tblPrEx>
        <w:trPr>
          <w:trHeight w:val="953"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数量指标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为保障泸县机关事务服务中心所有的67辆公务用车全年运行的燃油费、维修费、保险费、过路过桥费、停车费和其他相关支出费用。</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为保障泸县机关事务服务中心所有的67辆公务用车全年运行的燃油费、维修费、保险费、过路过桥费、停车费和其他相关支出费用。</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为保障泸县机关事务服务中心所有的67辆公务用车全年运行的燃油费、维修费、保险费、过路过桥费、停车费和其他相关支出费用。</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质量指标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泸县机关事务服务中心所有的67辆公务用车全年的运行维护费开支正常，保证了相关部门的公务出行需求。</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泸县机关事务服务中心所有的67辆公务用车全年的运行维护费开支正常，保证了相关部门的公务出行需求。</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泸县机关事务服务中心所有的67辆公务用车全年的运行维护费开支正常，保证了相关部门的公务出行需求。</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时效指标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全年</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泸县机关事务服务中心所有的67辆公务用车全年的运行维护费开支正常，保证了相关部门的公务出行需求。全年预算数312万元，执行数312万元，完成预算的100%。</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泸县机关事务服务中心所有的67辆公务用车全年的运行维护费开支正常，保证了相关部门的公务出行需求。全年预算数312万元，执行数312万元，完成预算的100%。</w:t>
            </w:r>
          </w:p>
        </w:tc>
      </w:tr>
      <w:tr>
        <w:tblPrEx>
          <w:tblCellMar>
            <w:top w:w="0" w:type="dxa"/>
            <w:left w:w="0" w:type="dxa"/>
            <w:bottom w:w="0" w:type="dxa"/>
            <w:right w:w="0" w:type="dxa"/>
          </w:tblCellMar>
        </w:tblPrEx>
        <w:trPr>
          <w:trHeight w:val="1050" w:hRule="atLeast"/>
          <w:jc w:val="center"/>
        </w:trPr>
        <w:tc>
          <w:tcPr>
            <w:tcW w:w="8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服务对象满意度指标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满意度达95%及以上</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满意度达95%及以上</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1"/>
                <w:szCs w:val="21"/>
                <w:lang w:val="en-US" w:eastAsia="zh-CN" w:bidi="ar-SA"/>
              </w:rPr>
            </w:pPr>
            <w:r>
              <w:rPr>
                <w:rFonts w:hint="default" w:ascii="Times New Roman" w:hAnsi="Times New Roman" w:eastAsia="方正仿宋简体" w:cs="Times New Roman"/>
                <w:b/>
                <w:bCs/>
                <w:kern w:val="0"/>
                <w:sz w:val="21"/>
                <w:szCs w:val="21"/>
                <w:lang w:val="en-US" w:eastAsia="zh-CN" w:bidi="ar-SA"/>
              </w:rPr>
              <w:t>满意度达95%及以上</w:t>
            </w:r>
          </w:p>
        </w:tc>
      </w:tr>
    </w:tbl>
    <w:p>
      <w:pPr>
        <w:keepNext w:val="0"/>
        <w:keepLines w:val="0"/>
        <w:pageBreakBefore w:val="0"/>
        <w:kinsoku/>
        <w:wordWrap/>
        <w:overflowPunct/>
        <w:topLinePunct w:val="0"/>
        <w:autoSpaceDE/>
        <w:autoSpaceDN/>
        <w:bidi w:val="0"/>
        <w:adjustRightInd/>
        <w:snapToGrid/>
        <w:spacing w:line="578" w:lineRule="exact"/>
        <w:ind w:firstLine="480" w:firstLineChars="200"/>
        <w:rPr>
          <w:rFonts w:hint="default" w:ascii="Times New Roman" w:hAnsi="Times New Roman" w:eastAsia="方正仿宋简体" w:cs="Times New Roman"/>
          <w:b/>
          <w:bCs/>
          <w:kern w:val="0"/>
          <w:sz w:val="24"/>
          <w:szCs w:val="24"/>
          <w:lang w:val="en-US" w:eastAsia="zh-CN" w:bidi="ar-SA"/>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18"/>
        <w:gridCol w:w="939"/>
        <w:gridCol w:w="1025"/>
        <w:gridCol w:w="2492"/>
        <w:gridCol w:w="2431"/>
        <w:gridCol w:w="2255"/>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项目绩效目标完成情况表</w:t>
            </w:r>
          </w:p>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公务车购置项目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泸县机关事务服务中心</w:t>
            </w:r>
          </w:p>
        </w:tc>
      </w:tr>
      <w:tr>
        <w:tblPrEx>
          <w:tblCellMar>
            <w:top w:w="0" w:type="dxa"/>
            <w:left w:w="0" w:type="dxa"/>
            <w:bottom w:w="0" w:type="dxa"/>
            <w:right w:w="0" w:type="dxa"/>
          </w:tblCellMar>
        </w:tblPrEx>
        <w:trPr>
          <w:trHeight w:val="197"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预算执行情况(万元)</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预算数:</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49.83万元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执行数: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49.83万元</w:t>
            </w:r>
          </w:p>
        </w:tc>
      </w:tr>
      <w:tr>
        <w:tblPrEx>
          <w:tblCellMar>
            <w:top w:w="0" w:type="dxa"/>
            <w:left w:w="0" w:type="dxa"/>
            <w:bottom w:w="0" w:type="dxa"/>
            <w:right w:w="0" w:type="dxa"/>
          </w:tblCellMar>
        </w:tblPrEx>
        <w:trPr>
          <w:trHeight w:val="27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其中-财政拨款:</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49.83万元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49.83万元</w:t>
            </w:r>
          </w:p>
        </w:tc>
      </w:tr>
      <w:tr>
        <w:tblPrEx>
          <w:tblCellMar>
            <w:top w:w="0" w:type="dxa"/>
            <w:left w:w="0" w:type="dxa"/>
            <w:bottom w:w="0" w:type="dxa"/>
            <w:right w:w="0" w:type="dxa"/>
          </w:tblCellMar>
        </w:tblPrEx>
        <w:trPr>
          <w:trHeight w:val="45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其它资金:</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r>
      <w:tr>
        <w:tblPrEx>
          <w:tblCellMar>
            <w:top w:w="0" w:type="dxa"/>
            <w:left w:w="0" w:type="dxa"/>
            <w:bottom w:w="0" w:type="dxa"/>
            <w:right w:w="0" w:type="dxa"/>
          </w:tblCellMar>
        </w:tblPrEx>
        <w:trPr>
          <w:trHeight w:val="276"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年度目标完成情况</w:t>
            </w: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预期目标</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实际完成目标</w:t>
            </w:r>
          </w:p>
        </w:tc>
      </w:tr>
      <w:tr>
        <w:tblPrEx>
          <w:tblCellMar>
            <w:top w:w="0" w:type="dxa"/>
            <w:left w:w="0" w:type="dxa"/>
            <w:bottom w:w="0" w:type="dxa"/>
            <w:right w:w="0" w:type="dxa"/>
          </w:tblCellMar>
        </w:tblPrEx>
        <w:trPr>
          <w:trHeight w:val="1159"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用于购置2辆应急用车经费。</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用于购置2辆应急用车经费。</w:t>
            </w:r>
          </w:p>
        </w:tc>
      </w:tr>
      <w:tr>
        <w:tblPrEx>
          <w:tblCellMar>
            <w:top w:w="0" w:type="dxa"/>
            <w:left w:w="0" w:type="dxa"/>
            <w:bottom w:w="0" w:type="dxa"/>
            <w:right w:w="0" w:type="dxa"/>
          </w:tblCellMar>
        </w:tblPrEx>
        <w:trPr>
          <w:trHeight w:val="1042" w:hRule="atLeast"/>
          <w:jc w:val="center"/>
        </w:trPr>
        <w:tc>
          <w:tcPr>
            <w:tcW w:w="8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绩效指标完成情况</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二级指标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三级指标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预期指标值(包含数字及文字描述)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实际完成指标值(包含数字及文字描述)</w:t>
            </w:r>
          </w:p>
        </w:tc>
      </w:tr>
      <w:tr>
        <w:tblPrEx>
          <w:tblCellMar>
            <w:top w:w="0" w:type="dxa"/>
            <w:left w:w="0" w:type="dxa"/>
            <w:bottom w:w="0" w:type="dxa"/>
            <w:right w:w="0" w:type="dxa"/>
          </w:tblCellMar>
        </w:tblPrEx>
        <w:trPr>
          <w:trHeight w:val="953"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数量指标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用于购置2辆应急用车经费。</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用于购置2辆应急用车经费。</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用于购置2辆应急用车经费。</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质量指标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进一步缓解因部分公务用车老旧带来的公务出行不便和减少高额的公务用车维修费用，同时提高了公务出行效率和安全性。</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进一步缓解因部分公务用车老旧带来的公务出行不便和减少高额的公务用车维修费用，同时提高了公务出行效率和安全性。</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进一步缓解因部分公务用车老旧带来的公务出行不便和减少高额的公务用车维修费用，同时提高了公务出行效率和安全性。</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时效指标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全年</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进一步缓解因部分公务用车老旧带来的公务出行不便和减少高额的公务用车维修费用，同时提高了公务出行效率和安全性。全年预算数49.83万元，执行数49.83万元，完成预算的100%。</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进一步缓解因部分公务用车老旧带来的公务出行不便和减少高额的公务用车维修费用，同时提高了公务出行效率和安全性。全年预算数49.83万元，执行数49.83万元，完成预算的100%。</w:t>
            </w:r>
          </w:p>
        </w:tc>
      </w:tr>
      <w:tr>
        <w:tblPrEx>
          <w:tblCellMar>
            <w:top w:w="0" w:type="dxa"/>
            <w:left w:w="0" w:type="dxa"/>
            <w:bottom w:w="0" w:type="dxa"/>
            <w:right w:w="0" w:type="dxa"/>
          </w:tblCellMar>
        </w:tblPrEx>
        <w:trPr>
          <w:trHeight w:val="1050" w:hRule="atLeast"/>
          <w:jc w:val="center"/>
        </w:trPr>
        <w:tc>
          <w:tcPr>
            <w:tcW w:w="8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服务对象满意度指标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满意度达到95%以上。</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满意度达到95%以上。</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满意度达到95%以上。</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项目绩效目标完成情况表</w:t>
            </w:r>
          </w:p>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机关事务服务中心后勤保障项目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泸县机关事务服务中心</w:t>
            </w:r>
          </w:p>
        </w:tc>
      </w:tr>
      <w:tr>
        <w:tblPrEx>
          <w:tblCellMar>
            <w:top w:w="0" w:type="dxa"/>
            <w:left w:w="0" w:type="dxa"/>
            <w:bottom w:w="0" w:type="dxa"/>
            <w:right w:w="0" w:type="dxa"/>
          </w:tblCellMar>
        </w:tblPrEx>
        <w:trPr>
          <w:trHeight w:val="276"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预算执行情况(万元)</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预算数:</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241.22万元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执行数: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241.22万元</w:t>
            </w:r>
          </w:p>
        </w:tc>
      </w:tr>
      <w:tr>
        <w:tblPrEx>
          <w:tblCellMar>
            <w:top w:w="0" w:type="dxa"/>
            <w:left w:w="0" w:type="dxa"/>
            <w:bottom w:w="0" w:type="dxa"/>
            <w:right w:w="0" w:type="dxa"/>
          </w:tblCellMar>
        </w:tblPrEx>
        <w:trPr>
          <w:trHeight w:val="27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其中-财政拨款:</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241.22万元</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其中-财政拨款:</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s>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241.22万元</w:t>
            </w:r>
          </w:p>
        </w:tc>
      </w:tr>
      <w:tr>
        <w:tblPrEx>
          <w:tblCellMar>
            <w:top w:w="0" w:type="dxa"/>
            <w:left w:w="0" w:type="dxa"/>
            <w:bottom w:w="0" w:type="dxa"/>
            <w:right w:w="0" w:type="dxa"/>
          </w:tblCellMar>
        </w:tblPrEx>
        <w:trPr>
          <w:trHeight w:val="456"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其它资金:</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其它资金:</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r>
      <w:tr>
        <w:tblPrEx>
          <w:tblCellMar>
            <w:top w:w="0" w:type="dxa"/>
            <w:left w:w="0" w:type="dxa"/>
            <w:bottom w:w="0" w:type="dxa"/>
            <w:right w:w="0" w:type="dxa"/>
          </w:tblCellMar>
        </w:tblPrEx>
        <w:trPr>
          <w:trHeight w:val="276"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年度目标完成情况</w:t>
            </w: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预期目标</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实际完成目标</w:t>
            </w:r>
          </w:p>
        </w:tc>
      </w:tr>
      <w:tr>
        <w:tblPrEx>
          <w:tblCellMar>
            <w:top w:w="0" w:type="dxa"/>
            <w:left w:w="0" w:type="dxa"/>
            <w:bottom w:w="0" w:type="dxa"/>
            <w:right w:w="0" w:type="dxa"/>
          </w:tblCellMar>
        </w:tblPrEx>
        <w:trPr>
          <w:trHeight w:val="1159"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default" w:ascii="Times New Roman" w:hAnsi="Times New Roman" w:eastAsia="方正仿宋简体" w:cs="Times New Roman"/>
                <w:b/>
                <w:bCs/>
                <w:kern w:val="0"/>
                <w:sz w:val="24"/>
                <w:szCs w:val="24"/>
                <w:lang w:val="en-US" w:eastAsia="zh-CN" w:bidi="ar-SA"/>
              </w:rPr>
            </w:pPr>
          </w:p>
        </w:tc>
        <w:tc>
          <w:tcPr>
            <w:tcW w:w="44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为保障泸县机关事务服务中心部门各项后勤服务项目。</w:t>
            </w:r>
          </w:p>
        </w:tc>
        <w:tc>
          <w:tcPr>
            <w:tcW w:w="46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为保障泸县机关事务服务中心部门各项后勤服务项目。</w:t>
            </w:r>
          </w:p>
        </w:tc>
      </w:tr>
      <w:tr>
        <w:tblPrEx>
          <w:tblCellMar>
            <w:top w:w="0" w:type="dxa"/>
            <w:left w:w="0" w:type="dxa"/>
            <w:bottom w:w="0" w:type="dxa"/>
            <w:right w:w="0" w:type="dxa"/>
          </w:tblCellMar>
        </w:tblPrEx>
        <w:trPr>
          <w:trHeight w:val="1042" w:hRule="atLeast"/>
          <w:jc w:val="center"/>
        </w:trPr>
        <w:tc>
          <w:tcPr>
            <w:tcW w:w="8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绩效指标完成情况</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二级指标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三级指标</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预期指标值(包含数字及文字描述)</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实际完成指标值(包含数字及文字描述)</w:t>
            </w:r>
          </w:p>
        </w:tc>
      </w:tr>
      <w:tr>
        <w:tblPrEx>
          <w:tblCellMar>
            <w:top w:w="0" w:type="dxa"/>
            <w:left w:w="0" w:type="dxa"/>
            <w:bottom w:w="0" w:type="dxa"/>
            <w:right w:w="0" w:type="dxa"/>
          </w:tblCellMar>
        </w:tblPrEx>
        <w:trPr>
          <w:trHeight w:val="953"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数量指标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保障机关事务服务中心部门内部各类后勤工作需求。</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保障机关事务服务中心部门内部各类后勤工作需求。</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保障机关事务服务中心部门内部各类后勤工作需求。</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质量指标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根据工作需求，保障机关事务服务中心部门各项后勤工作的正常运转。</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根据工作需求，保障机关事务服务中心部门各项后勤工作的正常运转。</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根据工作需求，保障机关事务服务中心部门各项后勤工作的正常运转。</w:t>
            </w:r>
          </w:p>
        </w:tc>
      </w:tr>
      <w:tr>
        <w:tblPrEx>
          <w:tblCellMar>
            <w:top w:w="0" w:type="dxa"/>
            <w:left w:w="0" w:type="dxa"/>
            <w:bottom w:w="0" w:type="dxa"/>
            <w:right w:w="0" w:type="dxa"/>
          </w:tblCellMar>
        </w:tblPrEx>
        <w:trPr>
          <w:trHeight w:val="1042" w:hRule="atLeast"/>
          <w:jc w:val="center"/>
        </w:trPr>
        <w:tc>
          <w:tcPr>
            <w:tcW w:w="81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时效指标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全年</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保障泸县机关事务服务中心全年工作顺利开展。全年预算数241.22万元，执行数241.22万元，完成预算的100%。</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578" w:lineRule="exact"/>
              <w:jc w:val="both"/>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保障泸县机关事务服务中心全年工作顺利开展。全年预算数241.22万元，执行数241.22万元，完成预算的100%。</w:t>
            </w:r>
          </w:p>
        </w:tc>
      </w:tr>
      <w:tr>
        <w:tblPrEx>
          <w:tblCellMar>
            <w:top w:w="0" w:type="dxa"/>
            <w:left w:w="0" w:type="dxa"/>
            <w:bottom w:w="0" w:type="dxa"/>
            <w:right w:w="0" w:type="dxa"/>
          </w:tblCellMar>
        </w:tblPrEx>
        <w:trPr>
          <w:trHeight w:val="1050" w:hRule="atLeast"/>
          <w:jc w:val="center"/>
        </w:trPr>
        <w:tc>
          <w:tcPr>
            <w:tcW w:w="8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服务对象满意度指标</w:t>
            </w:r>
          </w:p>
        </w:tc>
        <w:tc>
          <w:tcPr>
            <w:tcW w:w="2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满意度达95%以上</w:t>
            </w:r>
          </w:p>
        </w:tc>
        <w:tc>
          <w:tcPr>
            <w:tcW w:w="2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满意度达95%以上</w:t>
            </w:r>
          </w:p>
        </w:tc>
        <w:tc>
          <w:tcPr>
            <w:tcW w:w="2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简体" w:cs="Times New Roman"/>
                <w:b/>
                <w:bCs/>
                <w:kern w:val="0"/>
                <w:sz w:val="24"/>
                <w:szCs w:val="24"/>
                <w:lang w:val="en-US" w:eastAsia="zh-CN" w:bidi="ar-SA"/>
              </w:rPr>
            </w:pPr>
            <w:r>
              <w:rPr>
                <w:rFonts w:hint="default" w:ascii="Times New Roman" w:hAnsi="Times New Roman" w:eastAsia="方正仿宋简体" w:cs="Times New Roman"/>
                <w:b/>
                <w:bCs/>
                <w:kern w:val="0"/>
                <w:sz w:val="24"/>
                <w:szCs w:val="24"/>
                <w:lang w:val="en-US" w:eastAsia="zh-CN" w:bidi="ar-SA"/>
              </w:rPr>
              <w:t>满意度达95%以上</w:t>
            </w:r>
          </w:p>
        </w:tc>
      </w:tr>
    </w:tbl>
    <w:p>
      <w:pPr>
        <w:pStyle w:val="7"/>
        <w:pageBreakBefore w:val="0"/>
        <w:kinsoku/>
        <w:wordWrap/>
        <w:overflowPunct/>
        <w:topLinePunct w:val="0"/>
        <w:bidi w:val="0"/>
        <w:spacing w:before="93" w:line="578" w:lineRule="exact"/>
        <w:rPr>
          <w:rFonts w:hint="default" w:ascii="Times New Roman" w:hAnsi="Times New Roman" w:eastAsia="方正仿宋简体" w:cs="Times New Roman"/>
          <w:b/>
          <w:bCs/>
          <w:kern w:val="0"/>
          <w:sz w:val="32"/>
          <w:szCs w:val="32"/>
          <w:lang w:val="en-US" w:eastAsia="zh-CN" w:bidi="ar-SA"/>
        </w:rPr>
      </w:pPr>
    </w:p>
    <w:p>
      <w:pPr>
        <w:pageBreakBefore w:val="0"/>
        <w:kinsoku/>
        <w:wordWrap/>
        <w:overflowPunct/>
        <w:topLinePunct w:val="0"/>
        <w:bidi w:val="0"/>
        <w:spacing w:line="578" w:lineRule="exact"/>
        <w:jc w:val="center"/>
        <w:outlineLvl w:val="0"/>
        <w:rPr>
          <w:rFonts w:hint="default" w:ascii="Times New Roman" w:hAnsi="Times New Roman" w:eastAsia="方正小标宋简体" w:cs="Times New Roman"/>
          <w:b/>
          <w:bCs w:val="0"/>
          <w:kern w:val="44"/>
          <w:sz w:val="44"/>
          <w:szCs w:val="44"/>
          <w:lang w:val="en-US" w:eastAsia="zh-CN" w:bidi="ar-SA"/>
        </w:rPr>
      </w:pPr>
      <w:bookmarkStart w:id="61" w:name="_Toc15396618"/>
      <w:r>
        <w:rPr>
          <w:rFonts w:hint="default" w:ascii="Times New Roman" w:hAnsi="Times New Roman" w:eastAsia="方正小标宋简体" w:cs="Times New Roman"/>
          <w:b/>
          <w:bCs w:val="0"/>
          <w:kern w:val="44"/>
          <w:sz w:val="44"/>
          <w:szCs w:val="44"/>
          <w:lang w:val="en-US" w:eastAsia="zh-CN" w:bidi="ar-SA"/>
        </w:rPr>
        <w:t>第五部分 附表</w:t>
      </w:r>
      <w:bookmarkEnd w:id="60"/>
      <w:bookmarkEnd w:id="61"/>
      <w:bookmarkStart w:id="62" w:name="_Toc15396619"/>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一、收入支出决算总表</w:t>
      </w:r>
      <w:bookmarkEnd w:id="62"/>
      <w:bookmarkStart w:id="63" w:name="_Toc15396620"/>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二、收入决算表</w:t>
      </w:r>
      <w:bookmarkEnd w:id="63"/>
      <w:bookmarkStart w:id="64" w:name="_Toc15396621"/>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三、支出决算表</w:t>
      </w:r>
      <w:bookmarkEnd w:id="64"/>
      <w:bookmarkStart w:id="65" w:name="_Toc15396622"/>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四、财政拨款收入支出决算总表</w:t>
      </w:r>
      <w:bookmarkEnd w:id="65"/>
      <w:bookmarkStart w:id="66" w:name="_Toc15396623"/>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五、财政拨款支出决算明细表</w:t>
      </w:r>
      <w:bookmarkEnd w:id="66"/>
      <w:bookmarkStart w:id="67" w:name="_Toc15396624"/>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六、一般公共预算财政拨款支出决算表</w:t>
      </w:r>
      <w:bookmarkEnd w:id="67"/>
      <w:bookmarkStart w:id="68" w:name="_Toc15396625"/>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七、一般公共预算财政拨款支出决算明细表</w:t>
      </w:r>
      <w:bookmarkEnd w:id="68"/>
      <w:bookmarkStart w:id="69" w:name="_Toc15396626"/>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八、一般公共预算财政拨款基本支出决算表</w:t>
      </w:r>
      <w:bookmarkEnd w:id="69"/>
      <w:bookmarkStart w:id="70" w:name="_Toc15396627"/>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九、一般公共预算财政拨款项目支出决算表</w:t>
      </w:r>
      <w:bookmarkEnd w:id="70"/>
      <w:bookmarkStart w:id="71" w:name="_Toc15396628"/>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十、一般公共预算财政拨款“三公”经费支出决算表</w:t>
      </w:r>
      <w:bookmarkEnd w:id="71"/>
      <w:bookmarkStart w:id="72" w:name="_Toc15396629"/>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十一、政府性基金预算财政拨款收入支出决算表</w:t>
      </w:r>
      <w:bookmarkEnd w:id="72"/>
      <w:bookmarkStart w:id="73" w:name="_Toc15396630"/>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十二、政府性基金预算财政拨款“三公”经费支出决算表</w:t>
      </w:r>
      <w:bookmarkEnd w:id="73"/>
      <w:bookmarkStart w:id="74" w:name="_Toc15396631"/>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十三、国有资本经营预算财政拨款收入支出决算表</w:t>
      </w:r>
      <w:bookmarkEnd w:id="74"/>
    </w:p>
    <w:p>
      <w:pPr>
        <w:pageBreakBefore w:val="0"/>
        <w:kinsoku/>
        <w:wordWrap/>
        <w:overflowPunct/>
        <w:topLinePunct w:val="0"/>
        <w:bidi w:val="0"/>
        <w:spacing w:line="578" w:lineRule="exact"/>
        <w:jc w:val="left"/>
        <w:outlineLvl w:val="0"/>
        <w:rPr>
          <w:rFonts w:hint="default" w:ascii="Times New Roman" w:hAnsi="Times New Roman" w:eastAsia="方正黑体简体" w:cs="Times New Roman"/>
          <w:b/>
          <w:bCs/>
          <w:kern w:val="0"/>
          <w:sz w:val="32"/>
          <w:szCs w:val="32"/>
          <w:lang w:val="en-US" w:eastAsia="zh-CN" w:bidi="ar-SA"/>
        </w:rPr>
      </w:pPr>
      <w:r>
        <w:rPr>
          <w:rFonts w:hint="default" w:ascii="Times New Roman" w:hAnsi="Times New Roman" w:eastAsia="方正黑体简体" w:cs="Times New Roman"/>
          <w:b/>
          <w:bCs/>
          <w:kern w:val="0"/>
          <w:sz w:val="32"/>
          <w:szCs w:val="32"/>
          <w:lang w:val="en-US" w:eastAsia="zh-CN" w:bidi="ar-SA"/>
        </w:rPr>
        <w:t>十四、国有资本经营预算财政拨款支出决算表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VkNGJkZjBkNTJkYzJjNWEwZTYwYWFkNjM2MTc4M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1530D08"/>
    <w:rsid w:val="066E0107"/>
    <w:rsid w:val="07996F6E"/>
    <w:rsid w:val="0A2032A3"/>
    <w:rsid w:val="0ED879FC"/>
    <w:rsid w:val="101860EC"/>
    <w:rsid w:val="10A74E93"/>
    <w:rsid w:val="10C055FF"/>
    <w:rsid w:val="118107EC"/>
    <w:rsid w:val="13D50BC4"/>
    <w:rsid w:val="16B03BF6"/>
    <w:rsid w:val="16BB723D"/>
    <w:rsid w:val="17B172B6"/>
    <w:rsid w:val="1B1F5DBE"/>
    <w:rsid w:val="1BB354C1"/>
    <w:rsid w:val="1BE8440E"/>
    <w:rsid w:val="1D155CEE"/>
    <w:rsid w:val="1F8B2AE2"/>
    <w:rsid w:val="23860B96"/>
    <w:rsid w:val="240371BF"/>
    <w:rsid w:val="25AD37B3"/>
    <w:rsid w:val="29FD04D3"/>
    <w:rsid w:val="2C8A61B5"/>
    <w:rsid w:val="2DF04E50"/>
    <w:rsid w:val="30FB552D"/>
    <w:rsid w:val="319F7F4E"/>
    <w:rsid w:val="330031BF"/>
    <w:rsid w:val="36AA5135"/>
    <w:rsid w:val="3784633D"/>
    <w:rsid w:val="37E16F03"/>
    <w:rsid w:val="3BCB1204"/>
    <w:rsid w:val="3CBC3E83"/>
    <w:rsid w:val="3D98207C"/>
    <w:rsid w:val="41214BFD"/>
    <w:rsid w:val="42786ACF"/>
    <w:rsid w:val="44E268DA"/>
    <w:rsid w:val="47721600"/>
    <w:rsid w:val="48A00AFD"/>
    <w:rsid w:val="4A627F82"/>
    <w:rsid w:val="4B4F25DA"/>
    <w:rsid w:val="4BE068DB"/>
    <w:rsid w:val="4D577224"/>
    <w:rsid w:val="4EAB630A"/>
    <w:rsid w:val="4ECE2238"/>
    <w:rsid w:val="503462A5"/>
    <w:rsid w:val="515626A1"/>
    <w:rsid w:val="521560B8"/>
    <w:rsid w:val="53DE582A"/>
    <w:rsid w:val="57554370"/>
    <w:rsid w:val="580E15DF"/>
    <w:rsid w:val="5AF92295"/>
    <w:rsid w:val="5C1C458B"/>
    <w:rsid w:val="5CD71FC4"/>
    <w:rsid w:val="5F1A252C"/>
    <w:rsid w:val="634E142A"/>
    <w:rsid w:val="63A57CD1"/>
    <w:rsid w:val="649015CE"/>
    <w:rsid w:val="655C6080"/>
    <w:rsid w:val="68EA1D35"/>
    <w:rsid w:val="698201B1"/>
    <w:rsid w:val="6B0C5E52"/>
    <w:rsid w:val="6B404ED2"/>
    <w:rsid w:val="6C4A05C8"/>
    <w:rsid w:val="6E7E3605"/>
    <w:rsid w:val="6ED70525"/>
    <w:rsid w:val="6F212F57"/>
    <w:rsid w:val="6FF5CC65"/>
    <w:rsid w:val="708C533F"/>
    <w:rsid w:val="715C0E4B"/>
    <w:rsid w:val="71C159C9"/>
    <w:rsid w:val="72734D90"/>
    <w:rsid w:val="73AD73D5"/>
    <w:rsid w:val="73B6EB34"/>
    <w:rsid w:val="73E152F8"/>
    <w:rsid w:val="74BE7EBF"/>
    <w:rsid w:val="79EE5BA4"/>
    <w:rsid w:val="7A894339"/>
    <w:rsid w:val="7E696CC0"/>
    <w:rsid w:val="7EEF11D3"/>
    <w:rsid w:val="7F3A25AA"/>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Salutation"/>
    <w:basedOn w:val="1"/>
    <w:next w:val="1"/>
    <w:qFormat/>
    <w:uiPriority w:val="99"/>
    <w:pPr>
      <w:spacing w:line="540" w:lineRule="exact"/>
    </w:pPr>
    <w:rPr>
      <w:rFonts w:eastAsia="仿宋_GB2312"/>
      <w:spacing w:val="-2"/>
      <w:sz w:val="32"/>
      <w:szCs w:val="32"/>
    </w:rPr>
  </w:style>
  <w:style w:type="paragraph" w:styleId="7">
    <w:name w:val="Body Text"/>
    <w:basedOn w:val="1"/>
    <w:link w:val="22"/>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8"/>
    <w:semiHidden/>
    <w:unhideWhenUsed/>
    <w:qFormat/>
    <w:uiPriority w:val="99"/>
    <w:rPr>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7"/>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9"/>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6130;&#21153;&#24037;&#20316;\004&#19994;&#21153;&#24037;&#20316;-&#39044;&#20915;&#31639;&#31561;\3.&#39044;&#31639;&#12289;&#20915;&#31639;&#20844;&#24320;\&#20915;&#31639;\2021&#24180;&#24230;&#37096;&#38376;&#20915;&#31639;&#20844;&#24320;\&#20915;&#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年与</a:t>
            </a:r>
            <a:r>
              <a:rPr lang="en-US" altLang="zh-CN"/>
              <a:t>2021</a:t>
            </a:r>
            <a:r>
              <a:rPr altLang="en-US"/>
              <a:t>年收、支决算总计变动情况图</a:t>
            </a:r>
            <a:endParaRPr altLang="en-US"/>
          </a:p>
        </c:rich>
      </c:tx>
      <c:layout>
        <c:manualLayout>
          <c:xMode val="edge"/>
          <c:yMode val="edge"/>
          <c:x val="0.18795296406741"/>
          <c:y val="0.0325311883723997"/>
        </c:manualLayout>
      </c:layout>
      <c:overlay val="0"/>
      <c:spPr>
        <a:noFill/>
        <a:ln>
          <a:noFill/>
        </a:ln>
        <a:effectLst/>
      </c:spPr>
    </c:title>
    <c:autoTitleDeleted val="0"/>
    <c:plotArea>
      <c:layout/>
      <c:barChart>
        <c:barDir val="col"/>
        <c:grouping val="clustered"/>
        <c:varyColors val="0"/>
        <c:ser>
          <c:idx val="0"/>
          <c:order val="0"/>
          <c:tx>
            <c:strRef>
              <c:f>[决算公开图表模板.xlsx]事务办2020年决算图!$B$2</c:f>
              <c:strCache>
                <c:ptCount val="1"/>
                <c:pt idx="0">
                  <c:v>2020年</c:v>
                </c:pt>
              </c:strCache>
            </c:strRef>
          </c:tx>
          <c:spPr>
            <a:solidFill>
              <a:schemeClr val="accent1"/>
            </a:solidFill>
            <a:ln>
              <a:noFill/>
            </a:ln>
            <a:effectLst/>
          </c:spPr>
          <c:invertIfNegative val="0"/>
          <c:dLbls>
            <c:delete val="1"/>
          </c:dLbls>
          <c:cat>
            <c:strRef>
              <c:f>[决算公开图表模板.xlsx]事务办2020年决算图!$C$1:$D$1</c:f>
              <c:strCache>
                <c:ptCount val="2"/>
                <c:pt idx="0">
                  <c:v>收入（万元）</c:v>
                </c:pt>
                <c:pt idx="1">
                  <c:v>支出（万元）</c:v>
                </c:pt>
              </c:strCache>
            </c:strRef>
          </c:cat>
          <c:val>
            <c:numRef>
              <c:f>[决算公开图表模板.xlsx]事务办2020年决算图!$C$2:$D$2</c:f>
              <c:numCache>
                <c:formatCode>General</c:formatCode>
                <c:ptCount val="2"/>
                <c:pt idx="0">
                  <c:v>886.91</c:v>
                </c:pt>
                <c:pt idx="1">
                  <c:v>886.91</c:v>
                </c:pt>
              </c:numCache>
            </c:numRef>
          </c:val>
        </c:ser>
        <c:ser>
          <c:idx val="1"/>
          <c:order val="1"/>
          <c:tx>
            <c:strRef>
              <c:f>[决算公开图表模板.xlsx]事务办2020年决算图!$B$3</c:f>
              <c:strCache>
                <c:ptCount val="1"/>
                <c:pt idx="0">
                  <c:v>2021年</c:v>
                </c:pt>
              </c:strCache>
            </c:strRef>
          </c:tx>
          <c:spPr>
            <a:solidFill>
              <a:schemeClr val="accent2"/>
            </a:solidFill>
            <a:ln>
              <a:noFill/>
            </a:ln>
            <a:effectLst/>
          </c:spPr>
          <c:invertIfNegative val="0"/>
          <c:dLbls>
            <c:delete val="1"/>
          </c:dLbls>
          <c:cat>
            <c:strRef>
              <c:f>[决算公开图表模板.xlsx]事务办2020年决算图!$C$1:$D$1</c:f>
              <c:strCache>
                <c:ptCount val="2"/>
                <c:pt idx="0">
                  <c:v>收入（万元）</c:v>
                </c:pt>
                <c:pt idx="1">
                  <c:v>支出（万元）</c:v>
                </c:pt>
              </c:strCache>
            </c:strRef>
          </c:cat>
          <c:val>
            <c:numRef>
              <c:f>[决算公开图表模板.xlsx]事务办2020年决算图!$C$3:$D$3</c:f>
              <c:numCache>
                <c:formatCode>General</c:formatCode>
                <c:ptCount val="2"/>
                <c:pt idx="0">
                  <c:v>812.65</c:v>
                </c:pt>
                <c:pt idx="1">
                  <c:v>812.65</c:v>
                </c:pt>
              </c:numCache>
            </c:numRef>
          </c:val>
        </c:ser>
        <c:dLbls>
          <c:showLegendKey val="0"/>
          <c:showVal val="0"/>
          <c:showCatName val="0"/>
          <c:showSerName val="0"/>
          <c:showPercent val="0"/>
          <c:showBubbleSize val="0"/>
        </c:dLbls>
        <c:gapWidth val="219"/>
        <c:overlap val="-27"/>
        <c:axId val="259475872"/>
        <c:axId val="671764127"/>
      </c:barChart>
      <c:catAx>
        <c:axId val="259475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1764127"/>
        <c:crosses val="autoZero"/>
        <c:auto val="1"/>
        <c:lblAlgn val="ctr"/>
        <c:lblOffset val="100"/>
        <c:noMultiLvlLbl val="0"/>
      </c:catAx>
      <c:valAx>
        <c:axId val="671764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758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[决算公开图表模板.xlsx]事务办2020年决算图!$C$26</c:f>
              <c:strCache>
                <c:ptCount val="1"/>
                <c:pt idx="0">
                  <c:v>2021年收入决算结构图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[决算公开图表模板.xlsx]事务办2020年决算图!$B$27:$B$28</c:f>
              <c:strCache>
                <c:ptCount val="2"/>
                <c:pt idx="0">
                  <c:v>一般公共预算财政拨款收入630.05万元，占77.53%</c:v>
                </c:pt>
                <c:pt idx="1">
                  <c:v>年初结转和结余182.6万元，占22.47%</c:v>
                </c:pt>
              </c:strCache>
            </c:strRef>
          </c:cat>
          <c:val>
            <c:numRef>
              <c:f>[决算公开图表模板.xlsx]事务办2020年决算图!$C$27:$C$28</c:f>
              <c:numCache>
                <c:formatCode>General</c:formatCode>
                <c:ptCount val="2"/>
                <c:pt idx="0">
                  <c:v>630.05</c:v>
                </c:pt>
                <c:pt idx="1">
                  <c:v>182.6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[决算公开图表模板.xlsx]事务办2020年决算图!$C$30</c:f>
              <c:strCache>
                <c:ptCount val="1"/>
                <c:pt idx="0">
                  <c:v>2021年支出决算结构图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[决算公开图表模板.xlsx]事务办2020年决算图!$B$31:$B$32</c:f>
              <c:strCache>
                <c:ptCount val="2"/>
                <c:pt idx="0">
                  <c:v>基本支出209.60万元，占25.79%</c:v>
                </c:pt>
                <c:pt idx="1">
                  <c:v>项项目支出603.05万元，占74.21%目支出673.74万元，占75.96%</c:v>
                </c:pt>
              </c:strCache>
            </c:strRef>
          </c:cat>
          <c:val>
            <c:numRef>
              <c:f>[决算公开图表模板.xlsx]事务办2020年决算图!$C$31:$C$32</c:f>
              <c:numCache>
                <c:formatCode>General</c:formatCode>
                <c:ptCount val="2"/>
                <c:pt idx="0">
                  <c:v>213.17</c:v>
                </c:pt>
                <c:pt idx="1">
                  <c:v>673.74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20</a:t>
            </a:r>
            <a:r>
              <a:t>年与202</a:t>
            </a:r>
            <a:r>
              <a:rPr lang="en-US" altLang="zh-CN"/>
              <a:t>1</a:t>
            </a:r>
            <a:r>
              <a:t>年财政拨款收、支决算总计变动情况</a:t>
            </a:r>
          </a:p>
        </c:rich>
      </c:tx>
      <c:layout>
        <c:manualLayout>
          <c:xMode val="edge"/>
          <c:yMode val="edge"/>
          <c:x val="0.108036484654259"/>
          <c:y val="0.0257818095010742"/>
        </c:manualLayout>
      </c:layout>
      <c:overlay val="0"/>
      <c:spPr>
        <a:noFill/>
        <a:ln>
          <a:noFill/>
        </a:ln>
        <a:effectLst/>
      </c:spPr>
    </c:title>
    <c:autoTitleDeleted val="0"/>
    <c:plotArea>
      <c:layout>
        <c:manualLayout>
          <c:layoutTarget val="inner"/>
          <c:xMode val="edge"/>
          <c:yMode val="edge"/>
          <c:x val="0.117166666666667"/>
          <c:y val="0.206944444444444"/>
          <c:w val="0.878666666666667"/>
          <c:h val="0.604490740740741"/>
        </c:manualLayout>
      </c:layout>
      <c:barChart>
        <c:barDir val="col"/>
        <c:grouping val="clustered"/>
        <c:varyColors val="0"/>
        <c:ser>
          <c:idx val="0"/>
          <c:order val="0"/>
          <c:tx>
            <c:strRef>
              <c:f>[决算公开图表模板.xlsx]事务办2020年决算图!$A$47</c:f>
              <c:strCache>
                <c:ptCount val="1"/>
                <c:pt idx="0">
                  <c:v>2020年</c:v>
                </c:pt>
              </c:strCache>
            </c:strRef>
          </c:tx>
          <c:spPr>
            <a:solidFill>
              <a:schemeClr val="accent1"/>
            </a:solidFill>
            <a:ln>
              <a:noFill/>
            </a:ln>
            <a:effectLst/>
          </c:spPr>
          <c:invertIfNegative val="0"/>
          <c:dLbls>
            <c:delete val="1"/>
          </c:dLbls>
          <c:cat>
            <c:strRef>
              <c:f>[决算公开图表模板.xlsx]事务办2020年决算图!$B$46:$C$46</c:f>
              <c:strCache>
                <c:ptCount val="2"/>
                <c:pt idx="0">
                  <c:v>收入（万元）</c:v>
                </c:pt>
                <c:pt idx="1">
                  <c:v>支出（万元）</c:v>
                </c:pt>
              </c:strCache>
            </c:strRef>
          </c:cat>
          <c:val>
            <c:numRef>
              <c:f>[决算公开图表模板.xlsx]事务办2020年决算图!$B$47:$C$47</c:f>
              <c:numCache>
                <c:formatCode>General</c:formatCode>
                <c:ptCount val="2"/>
                <c:pt idx="0">
                  <c:v>886.91</c:v>
                </c:pt>
                <c:pt idx="1">
                  <c:v>886.91</c:v>
                </c:pt>
              </c:numCache>
            </c:numRef>
          </c:val>
        </c:ser>
        <c:ser>
          <c:idx val="1"/>
          <c:order val="1"/>
          <c:tx>
            <c:strRef>
              <c:f>[决算公开图表模板.xlsx]事务办2020年决算图!$A$48</c:f>
              <c:strCache>
                <c:ptCount val="1"/>
                <c:pt idx="0">
                  <c:v>2021年</c:v>
                </c:pt>
              </c:strCache>
            </c:strRef>
          </c:tx>
          <c:spPr>
            <a:solidFill>
              <a:schemeClr val="accent2"/>
            </a:solidFill>
            <a:ln>
              <a:noFill/>
            </a:ln>
            <a:effectLst/>
          </c:spPr>
          <c:invertIfNegative val="0"/>
          <c:dLbls>
            <c:delete val="1"/>
          </c:dLbls>
          <c:cat>
            <c:strRef>
              <c:f>[决算公开图表模板.xlsx]事务办2020年决算图!$B$46:$C$46</c:f>
              <c:strCache>
                <c:ptCount val="2"/>
                <c:pt idx="0">
                  <c:v>收入（万元）</c:v>
                </c:pt>
                <c:pt idx="1">
                  <c:v>支出（万元）</c:v>
                </c:pt>
              </c:strCache>
            </c:strRef>
          </c:cat>
          <c:val>
            <c:numRef>
              <c:f>[决算公开图表模板.xlsx]事务办2020年决算图!$B$48:$C$48</c:f>
              <c:numCache>
                <c:formatCode>General</c:formatCode>
                <c:ptCount val="2"/>
                <c:pt idx="0">
                  <c:v>812.65</c:v>
                </c:pt>
                <c:pt idx="1">
                  <c:v>812.65</c:v>
                </c:pt>
              </c:numCache>
            </c:numRef>
          </c:val>
        </c:ser>
        <c:dLbls>
          <c:showLegendKey val="0"/>
          <c:showVal val="0"/>
          <c:showCatName val="0"/>
          <c:showSerName val="0"/>
          <c:showPercent val="0"/>
          <c:showBubbleSize val="0"/>
        </c:dLbls>
        <c:gapWidth val="219"/>
        <c:overlap val="-27"/>
        <c:axId val="647506899"/>
        <c:axId val="512619986"/>
      </c:barChart>
      <c:catAx>
        <c:axId val="6475068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2619986"/>
        <c:crosses val="autoZero"/>
        <c:auto val="1"/>
        <c:lblAlgn val="ctr"/>
        <c:lblOffset val="100"/>
        <c:noMultiLvlLbl val="0"/>
      </c:catAx>
      <c:valAx>
        <c:axId val="5126199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5068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3661502255344"/>
          <c:y val="0.027554535017221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38197424892704"/>
          <c:y val="0.174621653084983"/>
          <c:w val="0.901332730969054"/>
          <c:h val="0.707660069848661"/>
        </c:manualLayout>
      </c:layout>
      <c:barChart>
        <c:barDir val="col"/>
        <c:grouping val="clustered"/>
        <c:varyColors val="0"/>
        <c:ser>
          <c:idx val="0"/>
          <c:order val="0"/>
          <c:tx>
            <c:strRef>
              <c:f>[决算公开图表模板.xlsx]事务办2020年决算图!$C$50</c:f>
              <c:strCache>
                <c:ptCount val="1"/>
                <c:pt idx="0">
                  <c:v>一般公共预算财政拨款支出决算变动情况</c:v>
                </c:pt>
              </c:strCache>
            </c:strRef>
          </c:tx>
          <c:spPr>
            <a:solidFill>
              <a:schemeClr val="accent1"/>
            </a:solidFill>
            <a:ln>
              <a:noFill/>
            </a:ln>
            <a:effectLst/>
          </c:spPr>
          <c:invertIfNegative val="0"/>
          <c:dLbls>
            <c:delete val="1"/>
          </c:dLbls>
          <c:cat>
            <c:strRef>
              <c:f>[决算公开图表模板.xlsx]事务办2020年决算图!$B$51:$B$52</c:f>
              <c:strCache>
                <c:ptCount val="2"/>
                <c:pt idx="0">
                  <c:v>2020年一般公共预算财政拨款支出（万元）</c:v>
                </c:pt>
                <c:pt idx="1">
                  <c:v>2021年一般公共预算财政拨款支出（万元）</c:v>
                </c:pt>
              </c:strCache>
            </c:strRef>
          </c:cat>
          <c:val>
            <c:numRef>
              <c:f>[决算公开图表模板.xlsx]事务办2020年决算图!$C$51:$C$52</c:f>
              <c:numCache>
                <c:formatCode>General</c:formatCode>
                <c:ptCount val="2"/>
                <c:pt idx="0">
                  <c:v>886.91</c:v>
                </c:pt>
                <c:pt idx="1">
                  <c:v>812.65</c:v>
                </c:pt>
              </c:numCache>
            </c:numRef>
          </c:val>
        </c:ser>
        <c:dLbls>
          <c:showLegendKey val="0"/>
          <c:showVal val="0"/>
          <c:showCatName val="0"/>
          <c:showSerName val="0"/>
          <c:showPercent val="0"/>
          <c:showBubbleSize val="0"/>
        </c:dLbls>
        <c:gapWidth val="219"/>
        <c:overlap val="-27"/>
        <c:axId val="701943797"/>
        <c:axId val="595222034"/>
      </c:barChart>
      <c:catAx>
        <c:axId val="7019437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222034"/>
        <c:crosses val="autoZero"/>
        <c:auto val="1"/>
        <c:lblAlgn val="ctr"/>
        <c:lblOffset val="100"/>
        <c:noMultiLvlLbl val="0"/>
      </c:catAx>
      <c:valAx>
        <c:axId val="5952220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9437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9722222222222"/>
          <c:y val="0.033333333333333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[决算公开图表模板.xlsx]事务办2020年决算图!$C$56</c:f>
              <c:strCache>
                <c:ptCount val="1"/>
                <c:pt idx="0">
                  <c:v>2021年一般公共预算财政拨款支出决算结构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[决算公开图表模板.xlsx]事务办2020年决算图!$B$57:$B$60</c:f>
              <c:strCache>
                <c:ptCount val="4"/>
                <c:pt idx="0">
                  <c:v>一般公共服务（类）支出788.64万元，占97.05%</c:v>
                </c:pt>
                <c:pt idx="1">
                  <c:v>社会保障和就业（类）支出10.43万元，占1.28%</c:v>
                </c:pt>
                <c:pt idx="2">
                  <c:v>卫生健康支出5.76万元，占0.71%</c:v>
                </c:pt>
                <c:pt idx="3">
                  <c:v>住房保障支出7.82万元，占0.96%</c:v>
                </c:pt>
              </c:strCache>
            </c:strRef>
          </c:cat>
          <c:val>
            <c:numRef>
              <c:f>[决算公开图表模板.xlsx]事务办2020年决算图!$C$57:$C$60</c:f>
              <c:numCache>
                <c:formatCode>General</c:formatCode>
                <c:ptCount val="4"/>
                <c:pt idx="0">
                  <c:v>788.64</c:v>
                </c:pt>
                <c:pt idx="1">
                  <c:v>10.43</c:v>
                </c:pt>
                <c:pt idx="2">
                  <c:v>5.76</c:v>
                </c:pt>
                <c:pt idx="3">
                  <c:v>7.82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[决算公开图表模板.xlsx]事务办2021年决算图!$C$70</c:f>
              <c:strCache>
                <c:ptCount val="1"/>
                <c:pt idx="0">
                  <c:v>2021年“三公”经费财政拨款支出结构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[决算公开图表模板.xlsx]事务办2021年决算图!$B$71:$B$72</c:f>
              <c:strCache>
                <c:ptCount val="2"/>
                <c:pt idx="0">
                  <c:v>公务用车购置及运行维护费支出决算361.83万元，占88.48%</c:v>
                </c:pt>
                <c:pt idx="1">
                  <c:v>公务接待费支出决算47.1万元，占11.52%</c:v>
                </c:pt>
              </c:strCache>
            </c:strRef>
          </c:cat>
          <c:val>
            <c:numRef>
              <c:f>[决算公开图表模板.xlsx]事务办2021年决算图!$C$71:$C$72</c:f>
              <c:numCache>
                <c:formatCode>General</c:formatCode>
                <c:ptCount val="2"/>
                <c:pt idx="0">
                  <c:v>361.83</c:v>
                </c:pt>
                <c:pt idx="1">
                  <c:v>47.1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9047</Words>
  <Characters>10169</Characters>
  <Lines>57</Lines>
  <Paragraphs>16</Paragraphs>
  <TotalTime>1</TotalTime>
  <ScaleCrop>false</ScaleCrop>
  <LinksUpToDate>false</LinksUpToDate>
  <CharactersWithSpaces>10197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2023-02-10T00:53:03Z</cp:lastPrinted>
  <dcterms:modified xsi:type="dcterms:W3CDTF">2023-02-10T02:00:48Z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0A6628238197421B9E0828A5D03E2F7C</vt:lpwstr>
  </property>
</Properties>
</file>